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34" w:rsidRPr="00793ADC" w:rsidRDefault="00560434" w:rsidP="00793ADC">
      <w:pPr>
        <w:widowControl/>
        <w:pBdr>
          <w:bottom w:val="single" w:sz="6" w:space="8" w:color="E7E7EB"/>
        </w:pBdr>
        <w:spacing w:line="360" w:lineRule="auto"/>
        <w:jc w:val="center"/>
        <w:outlineLvl w:val="1"/>
        <w:rPr>
          <w:rFonts w:ascii="宋体" w:eastAsia="宋体" w:hAnsi="宋体" w:cs="宋体"/>
          <w:b/>
          <w:color w:val="000000"/>
          <w:kern w:val="0"/>
          <w:sz w:val="32"/>
          <w:szCs w:val="32"/>
        </w:rPr>
      </w:pPr>
      <w:r w:rsidRPr="00793ADC">
        <w:rPr>
          <w:rFonts w:ascii="宋体" w:eastAsia="宋体" w:hAnsi="宋体" w:cs="宋体"/>
          <w:b/>
          <w:color w:val="000000"/>
          <w:kern w:val="0"/>
          <w:sz w:val="32"/>
          <w:szCs w:val="32"/>
        </w:rPr>
        <w:t>从顶层设计上保障我国矿业转型升级</w:t>
      </w:r>
    </w:p>
    <w:p w:rsidR="00560434" w:rsidRPr="00793ADC" w:rsidRDefault="00560434" w:rsidP="00793ADC">
      <w:pPr>
        <w:pStyle w:val="a3"/>
        <w:shd w:val="clear" w:color="auto" w:fill="FFFFFF"/>
        <w:spacing w:before="0" w:beforeAutospacing="0" w:after="0" w:afterAutospacing="0" w:line="360" w:lineRule="auto"/>
        <w:jc w:val="center"/>
        <w:rPr>
          <w:rFonts w:cs="Arial"/>
          <w:color w:val="2B2B2B"/>
          <w:sz w:val="28"/>
          <w:szCs w:val="28"/>
        </w:rPr>
      </w:pPr>
      <w:r w:rsidRPr="00793ADC">
        <w:rPr>
          <w:rStyle w:val="a4"/>
          <w:rFonts w:cs="Arial"/>
          <w:color w:val="FF0000"/>
          <w:sz w:val="28"/>
          <w:szCs w:val="28"/>
        </w:rPr>
        <w:t>《全国矿产资源规划（2016-2020年）》权威解读</w:t>
      </w:r>
    </w:p>
    <w:p w:rsidR="00560434" w:rsidRPr="00655B69" w:rsidRDefault="00560434" w:rsidP="00793ADC">
      <w:pPr>
        <w:pStyle w:val="a3"/>
        <w:shd w:val="clear" w:color="auto" w:fill="FFFFFF"/>
        <w:spacing w:before="0" w:beforeAutospacing="0" w:after="0" w:afterAutospacing="0" w:line="360" w:lineRule="auto"/>
        <w:ind w:firstLine="480"/>
        <w:rPr>
          <w:color w:val="3E3E3E"/>
          <w:sz w:val="28"/>
          <w:szCs w:val="28"/>
        </w:rPr>
      </w:pPr>
      <w:r w:rsidRPr="00793ADC">
        <w:rPr>
          <w:color w:val="3E3E3E"/>
          <w:sz w:val="28"/>
          <w:szCs w:val="28"/>
        </w:rPr>
        <w:t>矿产资源是我国经济社会发展的重要物质基础，矿业是我国重要的基础产业，</w:t>
      </w:r>
      <w:r w:rsidRPr="00655B69">
        <w:rPr>
          <w:color w:val="3E3E3E"/>
          <w:sz w:val="28"/>
          <w:szCs w:val="28"/>
        </w:rPr>
        <w:t>矿产资源保护与合理开发利用事关国家现代化建设全局。党中央、国务院高度重视资源安全和矿业发展工作。</w:t>
      </w:r>
    </w:p>
    <w:p w:rsidR="00560434" w:rsidRPr="00655B69" w:rsidRDefault="00560434" w:rsidP="00793ADC">
      <w:pPr>
        <w:pStyle w:val="a3"/>
        <w:shd w:val="clear" w:color="auto" w:fill="FFFFFF"/>
        <w:spacing w:before="0" w:beforeAutospacing="0" w:after="0" w:afterAutospacing="0" w:line="360" w:lineRule="auto"/>
        <w:rPr>
          <w:color w:val="3E3E3E"/>
          <w:sz w:val="28"/>
          <w:szCs w:val="28"/>
        </w:rPr>
      </w:pPr>
    </w:p>
    <w:p w:rsidR="00560434" w:rsidRPr="00655B69" w:rsidRDefault="00560434" w:rsidP="00793ADC">
      <w:pPr>
        <w:pStyle w:val="a3"/>
        <w:shd w:val="clear" w:color="auto" w:fill="FFFFFF"/>
        <w:spacing w:before="0" w:beforeAutospacing="0" w:after="0" w:afterAutospacing="0" w:line="360" w:lineRule="auto"/>
        <w:rPr>
          <w:color w:val="3E3E3E"/>
          <w:sz w:val="28"/>
          <w:szCs w:val="28"/>
        </w:rPr>
      </w:pPr>
      <w:r w:rsidRPr="00655B69">
        <w:rPr>
          <w:color w:val="3E3E3E"/>
          <w:sz w:val="28"/>
          <w:szCs w:val="28"/>
        </w:rPr>
        <w:t xml:space="preserve">　　11月2日，国务院正式批复同意《全国矿产资源规划（2016-2020年）》。</w:t>
      </w:r>
    </w:p>
    <w:p w:rsidR="00560434" w:rsidRPr="00655B69"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655B69">
        <w:rPr>
          <w:color w:val="3E3E3E"/>
          <w:sz w:val="28"/>
          <w:szCs w:val="28"/>
        </w:rPr>
        <w:t xml:space="preserve">　　11月29日，国土资源部召开《全国矿产资源规划（2016-2020年）》发布会。至此，由国土资源部会同国家发改委、工业和信息化部、财政部、环境保护部、商务部组织编制的全国矿产资源规划正式发布实施。《规划》在内容上具体系统阐述了提高资源保障能力、加快资源利用方式转变、深化矿产资源管理改革的目标、思路、任务和政策举措，被誉为今后一个时期我国矿产资源管理改革与矿业经济发展的总体蓝图和行动纲领。近日，参与制定《规划》的相关部门负责人就《规划》进行了权威解读。</w:t>
      </w:r>
    </w:p>
    <w:p w:rsidR="00560434" w:rsidRPr="00655B69" w:rsidRDefault="00560434" w:rsidP="00793ADC">
      <w:pPr>
        <w:pStyle w:val="a3"/>
        <w:shd w:val="clear" w:color="auto" w:fill="FFFFFF"/>
        <w:spacing w:before="0" w:beforeAutospacing="0" w:after="0" w:afterAutospacing="0" w:line="360" w:lineRule="auto"/>
        <w:rPr>
          <w:color w:val="000000" w:themeColor="text1"/>
          <w:sz w:val="28"/>
          <w:szCs w:val="28"/>
        </w:rPr>
      </w:pPr>
      <w:bookmarkStart w:id="0" w:name="_GoBack"/>
      <w:bookmarkEnd w:id="0"/>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w:t>
      </w:r>
      <w:r w:rsidRPr="00793ADC">
        <w:rPr>
          <w:rStyle w:val="a4"/>
          <w:color w:val="FF0000"/>
          <w:sz w:val="28"/>
          <w:szCs w:val="28"/>
        </w:rPr>
        <w:t>《规划》对我国资源安全及矿业发展形势有怎样的判断？</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“十三五”时期，我国基本资源国情没有变，资源在发展大局中的地位和作用没有变，资源环境约束趋紧的总体态势没有变。当</w:t>
      </w:r>
      <w:r w:rsidRPr="00793ADC">
        <w:rPr>
          <w:color w:val="3E3E3E"/>
          <w:sz w:val="28"/>
          <w:szCs w:val="28"/>
        </w:rPr>
        <w:lastRenderedPageBreak/>
        <w:t>前和今后一个时期，我国资源安全及矿业发展既存在老问题，也面临新要求。</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一是资源安全问题依然严峻。多数大宗矿产储采比较低，石油、天然气、铁、铜、铝等矿产人均可采资源储量远低于世界平均水平，资源基础相对薄弱。当前，我国能源资源需求增速放缓，但需求总量仍将维持高位运行，预计到2020年，我国一次能源消费量约为50亿吨标准煤，铁矿石7.5亿吨标矿，精炼铜1350万吨，原铝3500万吨。受国际矿业市场影响，国内勘查投入趋于下行，增大了我国矿产资源安全供应风险。</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二是新形势下矿业结构调整和转型升级压力大。受世界经济低迷、需求放缓、能源结构调整，以及前期高强度投资所形成的产能集中释放等因素影响，全球矿产品供应总体过剩，价格急剧下跌，矿业固定资产投资增速放缓。国内矿产品价格竞争力不强，矿业企业普遍经营困难，煤炭、钢铁、水泥等行业产能过剩。同时，世界新能源、新材料等战略性新兴产业迅猛发展，非常规能源、稀土、铌、钽、锂、晶质石墨等战略性新兴产业矿产需求逐步凸显，我国相关矿产资源虽有比较优势，但产业发展层次低，资源保护力度有待加强。矿业发展必须适应市场变化，坚持创新发展，加快矿业结构调整和转型升级，发展“创新驱动型、改革引领性、绿色安全型、包容共享型、开放互利型”5型矿业，增强可持续发展能力。</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三是资源开发利用方式亟需向绿色安全转变。我国矿产开发集约化规模化程度不够，小型及以下矿山占比88.4%，但产能占比不足40%。部分矿山采富弃贫、采易弃难，资源浪费现象仍然存在。长年积累的矿山环境问题突出，采矿累计占用损毁土地超过375万公顷。加快转变资源开发利用方式，推动矿业绿色低碳循环发展的任务十分繁重。</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四是发展更高层次开放型经济亟待提升矿业国际合作能力与水平。世界经济深度调整、复苏乏力，国际贸易增长低迷，全球矿业市场更加复杂多变，资源竞争和垄断不断加剧。推进“一带一路”建设，加强产能合作和基础设施、装备制造、国际金融等领域的广泛合作，为我国拓展矿业国际合作提供了新的发展空间和平台。但总体上看，我国企业参与国际矿业市场竞争的能力不够强，配套政策、人才队伍还不能满足矿业全球化和现代化的要求。</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五是全面深化改革要求加快矿产资源管理体制机制创新。当前，矿业发展的活力动力不足，资源约束趋紧、生态问题突出、民生诉求多元等相互交织，矿产资源管理领域深层次矛盾亟待解决，特别是资源配置政府干预仍然较多，矿业权市场规则不完善，现代矿业市场体系尚不健全，资源开发经济调节和利益分配机制不够合理。</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w:t>
      </w:r>
      <w:r w:rsidRPr="00793ADC">
        <w:rPr>
          <w:rStyle w:val="a4"/>
          <w:color w:val="FF0000"/>
          <w:sz w:val="28"/>
          <w:szCs w:val="28"/>
        </w:rPr>
        <w:t>《规划》将重点解决什么问题？</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规划》明确，到2020年基本建立安全、稳定、经济的资源保障体系，基本形成节约高效、环境友好、矿地和谐的绿色矿业发展模式，基本建成统一开放、竞争有序、富有活力的现代矿业市场体系，显著提升矿业发展的质量和效益，塑造资源安全与矿业发展新格局。</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规划》重点解决5方面问题：一是确保全面建成小康社会资源安全供应。加快传统地质矿产工作向大地质、大资源、大环境转型，全面提高公益性地质调查服务能力和水平。着力打造以市场为导向的多元投资平台，持续推进找矿突破战略行动，夯实资源基础。集中力量建设103个国家能源资源基地，守住资源安全供应底线。加强国家规划矿区重点监管，着力打造新型现代化资源高效开发利用示范区。强化战略性矿产的保护与储备。加强战略性矿产监测预警，增强风险防控能力。</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二是着力推进新常态下矿业经济持续健康发展。大力推进供给侧结构性改革，抓好“三去一降一补”任务落实，提升矿业竞争能力。实行差别化政策，优化矿产开发利用结构，大力发展天然气、煤层气、页岩气、地热等清洁高效能源。实施“三深一土”战略，</w:t>
      </w:r>
      <w:r w:rsidRPr="00793ADC">
        <w:rPr>
          <w:color w:val="3E3E3E"/>
          <w:sz w:val="28"/>
          <w:szCs w:val="28"/>
        </w:rPr>
        <w:lastRenderedPageBreak/>
        <w:t>大力发展新技术、新工艺和新装备，加快推动传统矿业转型升级。培育和发展有市场竞争力的矿业企业，引导形成以大型集团为主体、大中小型矿山、上下游产业协调发展的资源开发格局。加强国内资源基础好、市场潜力大、具有国际市场竞争力的稀土、稀有稀散、锂、优质石墨等矿产的合理开发与有效保护，促进战略性新兴产业发展。</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三是加快推动勘查开发布局调整和矿业绿色发展。全面落实生态文明建设要求，促进资源开发与环境保护协调发展。优化矿产开发布局，划定具有资源和环境保护功能的禁止、限制开发区域，严格准入管理，强化环境保护。划定267个国家规划矿区和28个对国民经济具有重要价值的矿区，推进矿产资源集中开发和有效保护。全面推进绿色勘查、绿色矿山和绿色矿业发展示范区建设，建立领跑标准，典型示范引领，多方共同推进，加大政策合力，加快转变资源利用方式和矿业发展方式。大力推进矿产资源节约集约与综合利用，确保规划期末主要矿产资源产出率提高15%。完成50万公顷历史遗留矿山地质环境治理和土地复垦。</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四是积极促进矿业开放共享发展。坚持开放合作、互利共赢，发展更高层次开放型矿业经济。坚持资源惠民利民，补齐小康短板。实施地质调查与信息服务计划，全面推进“一带一路”矿业合作。提高矿业领域对外开放水平，营造良好投资营商环境，促进矿</w:t>
      </w:r>
      <w:r w:rsidRPr="00793ADC">
        <w:rPr>
          <w:color w:val="3E3E3E"/>
          <w:sz w:val="28"/>
          <w:szCs w:val="28"/>
        </w:rPr>
        <w:lastRenderedPageBreak/>
        <w:t>业资本市场互联互通。健全矿业“走出去”政策机制，加强重要矿产开发合作。积极参与全球矿业治理。支持贫困地区合理有序开发优势能源资源，促进脱贫致富。</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五是全面深化管理改革增强矿业发展活力与动力。着力推进重点领域和关键环节改革，推动开放油气、铀勘探开发市场，引入社会资本，加快勘探开发进程。扩大矿业权竞争性出让范围，完善符合市场经济要求和矿业规律的矿业权出让方式。深化矿业权审批制度改革，调整下放矿业权审批权限。研究建立矿产资源国家权益金制度，推进矿产资源税费制度改革。强化诚信体系建设，改革矿产资源监管方式。健全现代矿业市场体系，完善宏观调控政策体系。</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w:t>
      </w:r>
      <w:r w:rsidRPr="00793ADC">
        <w:rPr>
          <w:rStyle w:val="a4"/>
          <w:color w:val="FF0000"/>
          <w:sz w:val="28"/>
          <w:szCs w:val="28"/>
        </w:rPr>
        <w:t>《规划》如何进一步保障我国能源资源安全？</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主要有6大举措保障我国资源安全：一是切实提高公益性地质调查服务水平。加快传统地质矿产工作向大地质、大资源、大环境转型，主动服务新型工业化、信息化、城镇化和农业现代化建设，做好生态建设、防灾减灾、重大工程和海洋资源开发保护的支撑工作。二是持续推进实施找矿突破战略行动。突出影响全局的能源矿产、大宗矿产和战略性新兴矿产，聚焦鄂尔多斯等16个含油气盆地勘查薄弱地区，东昆仑等26个重点成矿区带，加快部署开展地质矿产调查工作，查清成矿条件、圈定找矿靶区。着力打造以市场为导</w:t>
      </w:r>
      <w:r w:rsidRPr="00793ADC">
        <w:rPr>
          <w:color w:val="3E3E3E"/>
          <w:sz w:val="28"/>
          <w:szCs w:val="28"/>
        </w:rPr>
        <w:lastRenderedPageBreak/>
        <w:t>向的多元投资平台，鼓励和引导社会资本投入地质找矿。三是集中力量建设103个国家能源资源基地。将国家能源资源基地，作为保障国家资源安全供应的战略核心区域，统筹安排，重点建设，在生产力布局、基础设施建设、资源配置、重大项目设置、财政资金投入及相关产业政策上给予重点支持和保障。力争到2020年，大型煤炭基地生产能力达到全国的95%以上，石墨、稀土等资源基地超过80%，钨、锡、锑、磷、钾盐等资源基地达到50%左右。四是加强对国家规划矿区重点监管。将267个国家规划矿区作为支撑国家能源资源基地建设的重要载体，加强统一规划，推动规模化集约化开发，着力打造新型现代化资源高效开发利用示范区。五是强化战略性矿产的保护与储备。建立保护性开采特定矿种动态调整机制，合理调控钨、稀土等开采规模。加强焦煤肥煤等稀缺和特殊煤种、晶质石墨、稀有稀散金属等战略性新兴产业矿产的保护。对当前技术经济条件下无法合理利用的矿产和尾矿资源，严格限制开发，避免资源破坏和浪费。建立国家和企业共同参与，矿产品和矿产地相结合的战略储备体系，保障矿产资源供应安全和代际公平。加大原油储备力度，科学合理确定有色金属、稀贵金属等国家战略储备规模、品种、结构，完善储备制度。健全矿产地储备机制，加强对钨、稀土、晶质石墨等战略性矿产重要矿产地的储备，探索采储结合新机制。六是强化战略性矿产监测预警。将石油等24种国家战略性矿产，作为矿产资源宏观调控和监督管理的重点对象，在资源配置、项目资金、财政投入、矿业用地、重大项目等方面加强引导和</w:t>
      </w:r>
      <w:r w:rsidRPr="00793ADC">
        <w:rPr>
          <w:color w:val="3E3E3E"/>
          <w:sz w:val="28"/>
          <w:szCs w:val="28"/>
        </w:rPr>
        <w:lastRenderedPageBreak/>
        <w:t>差别化管理，健全监测预警机制，引导产业发展，增强风险防控能力。</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w:t>
      </w:r>
      <w:r w:rsidRPr="00793ADC">
        <w:rPr>
          <w:rStyle w:val="a4"/>
          <w:color w:val="FF0000"/>
          <w:sz w:val="28"/>
          <w:szCs w:val="28"/>
        </w:rPr>
        <w:t xml:space="preserve">　《规划》将具体从哪些方面推动我国矿业转型升级？</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主要从5方面推进：一是调整资源开发利用结构。综合施策，促进矿业经济平稳发展。稳定国内石油供应，控制煤炭开采总量，加快清洁高效能源矿产勘查开发。2020年，石油稳定在2亿吨，天然气达到1700亿立方米，煤炭控制在39亿吨。稳定国内铁矿供应能力，适度扩大铜铝镍等矿产开发规模，适当控制铅锌钼矿产开发强度，保护性开发钨锡锑等矿产，鼓励金银等贵金属矿产勘查开发。保障磷硫钾矿产供给，推进重要功能性非金属矿产高效利用，规范建材非金属资源管理。二是优化矿产开发区域布局。着力推动资源开发与区域发展、产业升级、环境保护、城乡建设相协调。实施矿业权设置区划制度，实行一个勘查开采规划区块一个主体，严禁将矿产地化大为小和分割出让，优化矿山布局。三是强化资源节约集约循环利用。合理调控能源资源开发利用总量。按照法律规定继续将钨、稀土开采总量列为约束性指标，分别定为12万吨/年和14万吨/年，强化保护。按照落实能源消耗总量和强度双控行动，将煤炭开采总量确定为39亿吨/年，控制增量，调整存量。严格矿产开发准入门槛。实施一批矿产资源节约与综合利用示范工程，提高资源利用水平。大力发展矿业领域循环经济。力争规划期末主要</w:t>
      </w:r>
      <w:r w:rsidRPr="00793ADC">
        <w:rPr>
          <w:color w:val="3E3E3E"/>
          <w:sz w:val="28"/>
          <w:szCs w:val="28"/>
        </w:rPr>
        <w:lastRenderedPageBreak/>
        <w:t>矿产资源产出率提高15%。四是大力推进矿业领域科技创新。按照绿色开发、节约集约、智能发展的思路，发展勘查、开发与利用技术体系。加快矿山企业技术、工艺和装备改造。加快建设数字化、智能化、信息化、自动化矿山，大力发展“互联网+矿业”，促进企业组织结构和管理模式变革，加快传统矿业转型升级。五是培育和发展有市场竞争力的矿业企业。鼓励企业根据市场需求，延伸产业链，调整矿产品生产结构，提升产品附加值。鼓励地方根据实际依托矿产资源优势大力发展资源深加工项目，推进资源产业一体化发展。将化解过剩产能与推动资源整合、企业兼并重组和解决失去生存发展条件的矿山企业密切结合起来，引导形成以大型集团为主体，大中小型矿山、上下游产业协调发展的资源开发格局。</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r w:rsidRPr="00793ADC">
        <w:rPr>
          <w:color w:val="3E3E3E"/>
          <w:sz w:val="28"/>
          <w:szCs w:val="28"/>
        </w:rPr>
        <w:t xml:space="preserve">　　</w:t>
      </w:r>
      <w:r w:rsidRPr="00793ADC">
        <w:rPr>
          <w:rStyle w:val="a4"/>
          <w:color w:val="FF0000"/>
          <w:sz w:val="28"/>
          <w:szCs w:val="28"/>
        </w:rPr>
        <w:t>《规划》将从何处着手推动矿产资源管理改革、增强矿业发展活力？</w:t>
      </w:r>
    </w:p>
    <w:p w:rsidR="00560434" w:rsidRPr="00793ADC" w:rsidRDefault="00560434" w:rsidP="00793ADC">
      <w:pPr>
        <w:pStyle w:val="a3"/>
        <w:shd w:val="clear" w:color="auto" w:fill="FFFFFF"/>
        <w:spacing w:before="0" w:beforeAutospacing="0" w:after="0" w:afterAutospacing="0" w:line="360" w:lineRule="auto"/>
        <w:rPr>
          <w:color w:val="3E3E3E"/>
          <w:sz w:val="28"/>
          <w:szCs w:val="28"/>
        </w:rPr>
      </w:pPr>
    </w:p>
    <w:p w:rsidR="00560434" w:rsidRPr="00655B69" w:rsidRDefault="00560434" w:rsidP="00793ADC">
      <w:pPr>
        <w:pStyle w:val="a3"/>
        <w:shd w:val="clear" w:color="auto" w:fill="FFFFFF"/>
        <w:spacing w:before="0" w:beforeAutospacing="0" w:after="0" w:afterAutospacing="0" w:line="360" w:lineRule="auto"/>
        <w:rPr>
          <w:color w:val="000000" w:themeColor="text1"/>
          <w:sz w:val="28"/>
          <w:szCs w:val="28"/>
        </w:rPr>
      </w:pPr>
      <w:r w:rsidRPr="00793ADC">
        <w:rPr>
          <w:color w:val="3E3E3E"/>
          <w:sz w:val="28"/>
          <w:szCs w:val="28"/>
        </w:rPr>
        <w:t xml:space="preserve">　　主要有7项改革举措：一是开放油气、铀勘探开发市场。稳步推进油气勘查开采体制机制改革，逐步放开上游勘探开发市场，引入社会资本，加快勘探开发进程。加大铀矿勘查开发体制改革，有序放开铀矿勘查开发市场，积极引导社会资本进入铀矿勘查领域，加快铀矿勘查开发进程。二是扩大矿业权竞争性出让范围。建立符合市场经济要求和矿业规律的矿业权出让方式，探索扩大矿业权竞争性出让范围，着力破解制度性障碍，吸引社会资本和风险投资。</w:t>
      </w:r>
      <w:r w:rsidRPr="00793ADC">
        <w:rPr>
          <w:color w:val="3E3E3E"/>
          <w:sz w:val="28"/>
          <w:szCs w:val="28"/>
        </w:rPr>
        <w:lastRenderedPageBreak/>
        <w:t>将矿业权出让竞争性环节纳入公共资源交易平台。三是推进矿业权审批权限下放。四是推进矿产资源税费制度改革。建立矿产资源国家权益金制度。调整探矿权采矿权使用费标准，完善最低勘查投入制度。实施矿产资源税从价计征改革，合理确定资源税税率水平。全面清理涉及矿产资源的收费基金，规范征收行为。加强矿产资源税收优惠政策管理，提高资源综合利用效率。建立评估机制，将资源所有者权益和生态环境损害等纳入自然资源及其产品开发利用成本。五是改革矿产资源监管方式。全面推行矿业权人勘查开采信息公开制度，建立矿业权人“黑名单”制度，完善社会监督、政府抽查、失信退出相配套的矿产资源监管体系。加强矿产资源储量登记管理，健全符合我国国情并与国际对比互认的资源储量管理制度体系，加强资源储量动态监测。建立完善矿产资源勘查开发综合监管平台。六是强化矿产资源宏观管理。制定战略性矿产目录，并作为矿产资源宏观调控和监督管理的重点对象。建立战略性矿产监测预警机制，建立战略性矿产监测预警报告制度。完善矿产资源宏观调控政策体系，加强国家矿产资源安全战略研究。强化矿产资源规划管控，严格规划分区管理、总量调控和开采准入制度。七是健全现代矿业市场体系。建立健全矿业权有形市场，加快发展矿业资本市场和中介服务市场，形成统一开放、竞争有序的矿业市场体系。积极稳妥发展混合所有制企业，培育具有市场竞争力的矿业市场主体。培育资源型产品期货市场，发展商品期权、商品指数期货等交</w:t>
      </w:r>
      <w:r w:rsidRPr="00793ADC">
        <w:rPr>
          <w:color w:val="3E3E3E"/>
          <w:sz w:val="28"/>
          <w:szCs w:val="28"/>
        </w:rPr>
        <w:lastRenderedPageBreak/>
        <w:t>易工具，发挥期货市场价格发现和风险管理功能，增强服务实体经济能力。</w:t>
      </w:r>
      <w:r w:rsidR="00655B69" w:rsidRPr="00655B69">
        <w:rPr>
          <w:rFonts w:hint="eastAsia"/>
          <w:color w:val="000000" w:themeColor="text1"/>
          <w:sz w:val="28"/>
          <w:szCs w:val="28"/>
        </w:rPr>
        <w:t>（</w:t>
      </w:r>
      <w:r w:rsidRPr="00655B69">
        <w:rPr>
          <w:color w:val="000000" w:themeColor="text1"/>
          <w:sz w:val="28"/>
          <w:szCs w:val="28"/>
        </w:rPr>
        <w:t>来源：国土资源部</w:t>
      </w:r>
      <w:r w:rsidR="00655B69" w:rsidRPr="00655B69">
        <w:rPr>
          <w:rFonts w:hint="eastAsia"/>
          <w:color w:val="000000" w:themeColor="text1"/>
          <w:sz w:val="28"/>
          <w:szCs w:val="28"/>
        </w:rPr>
        <w:t>）</w:t>
      </w:r>
    </w:p>
    <w:p w:rsidR="0085229E" w:rsidRPr="00793ADC" w:rsidRDefault="0085229E" w:rsidP="00793ADC">
      <w:pPr>
        <w:spacing w:line="360" w:lineRule="auto"/>
        <w:rPr>
          <w:rFonts w:ascii="宋体" w:eastAsia="宋体" w:hAnsi="宋体"/>
          <w:sz w:val="28"/>
          <w:szCs w:val="28"/>
        </w:rPr>
      </w:pPr>
    </w:p>
    <w:sectPr w:rsidR="0085229E" w:rsidRPr="00793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34"/>
    <w:rsid w:val="00552BB1"/>
    <w:rsid w:val="00560434"/>
    <w:rsid w:val="00655B69"/>
    <w:rsid w:val="00793ADC"/>
    <w:rsid w:val="0085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869DD-4EDB-4961-BB28-EA64958F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043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0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6571">
      <w:bodyDiv w:val="1"/>
      <w:marLeft w:val="0"/>
      <w:marRight w:val="0"/>
      <w:marTop w:val="0"/>
      <w:marBottom w:val="0"/>
      <w:divBdr>
        <w:top w:val="none" w:sz="0" w:space="0" w:color="auto"/>
        <w:left w:val="none" w:sz="0" w:space="0" w:color="auto"/>
        <w:bottom w:val="none" w:sz="0" w:space="0" w:color="auto"/>
        <w:right w:val="none" w:sz="0" w:space="0" w:color="auto"/>
      </w:divBdr>
    </w:div>
    <w:div w:id="17810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824</Words>
  <Characters>4697</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 Xiong</dc:creator>
  <cp:keywords/>
  <dc:description/>
  <cp:lastModifiedBy>ZL Xiong</cp:lastModifiedBy>
  <cp:revision>5</cp:revision>
  <dcterms:created xsi:type="dcterms:W3CDTF">2016-12-02T12:06:00Z</dcterms:created>
  <dcterms:modified xsi:type="dcterms:W3CDTF">2016-12-02T12:30:00Z</dcterms:modified>
</cp:coreProperties>
</file>