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02069">
      <w:pPr>
        <w:pStyle w:val="112"/>
        <w:framePr w:wrap="around"/>
        <w:rPr>
          <w:rFonts w:hint="default" w:ascii="Times New Roman" w:hAnsi="Times New Roman" w:cs="Times New Roman"/>
        </w:rPr>
      </w:pPr>
      <w:r>
        <w:rPr>
          <w:rFonts w:hint="default" w:ascii="Times New Roman" w:hAnsi="Times New Roman" w:cs="Times New Roman"/>
        </w:rPr>
        <w:t>ICS</w:t>
      </w:r>
      <w:r>
        <w:rPr>
          <w:rFonts w:hint="default" w:ascii="Times New Roman" w:hAnsi="Times New Roman" w:cs="Times New Roman"/>
        </w:rPr>
        <w:t> </w:t>
      </w:r>
      <w:r>
        <w:rPr>
          <w:rFonts w:hint="default" w:ascii="Times New Roman" w:hAnsi="Times New Roman" w:cs="Times New Roman"/>
        </w:rPr>
        <w:t>77.080.01</w:t>
      </w:r>
    </w:p>
    <w:p w14:paraId="38225DCD">
      <w:pPr>
        <w:pStyle w:val="112"/>
        <w:framePr w:wrap="around"/>
        <w:rPr>
          <w:rFonts w:hint="default" w:ascii="Times New Roman" w:hAnsi="Times New Roman" w:cs="Times New Roman"/>
        </w:rPr>
      </w:pPr>
      <w:r>
        <w:rPr>
          <w:rFonts w:hint="default" w:ascii="Times New Roman" w:hAnsi="Times New Roman" w:cs="Times New Roman"/>
        </w:rPr>
        <w:t>CCS</w:t>
      </w:r>
      <w:r>
        <w:rPr>
          <w:rFonts w:hint="default" w:ascii="Times New Roman" w:hAnsi="Times New Roman" w:cs="Times New Roman"/>
        </w:rPr>
        <w:t xml:space="preserve"> H 04</w:t>
      </w:r>
    </w:p>
    <w:tbl>
      <w:tblPr>
        <w:tblStyle w:val="34"/>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19EC4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54386138">
            <w:pPr>
              <w:pStyle w:val="112"/>
              <w:framePr w:wrap="around"/>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p>
        </w:tc>
      </w:tr>
    </w:tbl>
    <w:p w14:paraId="27429532">
      <w:pPr>
        <w:pStyle w:val="68"/>
        <w:framePr w:h="4292" w:hRule="exact" w:wrap="around"/>
        <w:rPr>
          <w:rFonts w:hint="default" w:ascii="Times New Roman" w:hAnsi="Times New Roman" w:cs="Times New Roman"/>
        </w:rPr>
      </w:pPr>
      <w:bookmarkStart w:id="0" w:name="_Toc16212"/>
      <w:r>
        <w:rPr>
          <w:rFonts w:hint="default" w:ascii="Times New Roman" w:hAnsi="Times New Roman" w:cs="Times New Roman"/>
        </w:rPr>
        <w:t>锰基新能源材料用电解金属锰</w:t>
      </w:r>
      <w:bookmarkEnd w:id="0"/>
    </w:p>
    <w:p w14:paraId="70789D23">
      <w:pPr>
        <w:pStyle w:val="67"/>
        <w:framePr w:h="4292" w:hRule="exact" w:wrap="around"/>
        <w:rPr>
          <w:rFonts w:hint="default" w:ascii="Times New Roman" w:hAnsi="Times New Roman" w:cs="Times New Roman"/>
        </w:rPr>
      </w:pPr>
      <w:r>
        <w:rPr>
          <w:rFonts w:hint="default" w:ascii="Times New Roman" w:hAnsi="Times New Roman" w:cs="Times New Roman"/>
          <w:lang w:val="en-US" w:eastAsia="zh-CN"/>
        </w:rPr>
        <w:t>Ele</w:t>
      </w:r>
      <w:r>
        <w:rPr>
          <w:rFonts w:hint="default" w:ascii="Times New Roman" w:hAnsi="Times New Roman" w:cs="Times New Roman"/>
        </w:rPr>
        <w:t>ctrolytic mangan</w:t>
      </w:r>
      <w:r>
        <w:rPr>
          <w:rFonts w:hint="default" w:ascii="Times New Roman" w:hAnsi="Times New Roman" w:cs="Times New Roman"/>
          <w:lang w:val="en-US" w:eastAsia="zh-CN"/>
        </w:rPr>
        <w:t>e</w:t>
      </w:r>
      <w:r>
        <w:rPr>
          <w:rFonts w:hint="default" w:ascii="Times New Roman" w:hAnsi="Times New Roman" w:cs="Times New Roman"/>
        </w:rPr>
        <w:t>s</w:t>
      </w:r>
      <w:r>
        <w:rPr>
          <w:rFonts w:hint="default" w:ascii="Times New Roman" w:hAnsi="Times New Roman" w:cs="Times New Roman"/>
          <w:lang w:val="en-US" w:eastAsia="zh-CN"/>
        </w:rPr>
        <w:t>e</w:t>
      </w:r>
      <w:r>
        <w:rPr>
          <w:rFonts w:hint="default" w:ascii="Times New Roman" w:hAnsi="Times New Roman" w:cs="Times New Roman"/>
        </w:rPr>
        <w:t xml:space="preserve"> m</w:t>
      </w:r>
      <w:r>
        <w:rPr>
          <w:rFonts w:hint="default" w:ascii="Times New Roman" w:hAnsi="Times New Roman" w:cs="Times New Roman"/>
          <w:lang w:val="en-US" w:eastAsia="zh-CN"/>
        </w:rPr>
        <w:t>e</w:t>
      </w:r>
      <w:r>
        <w:rPr>
          <w:rFonts w:hint="default" w:ascii="Times New Roman" w:hAnsi="Times New Roman" w:cs="Times New Roman"/>
        </w:rPr>
        <w:t xml:space="preserve">tal </w:t>
      </w:r>
      <w:r>
        <w:rPr>
          <w:rFonts w:hint="default" w:ascii="Times New Roman" w:hAnsi="Times New Roman" w:cs="Times New Roman"/>
          <w:lang w:val="en-US" w:eastAsia="zh-CN"/>
        </w:rPr>
        <w:t>f</w:t>
      </w:r>
      <w:r>
        <w:rPr>
          <w:rFonts w:hint="default" w:ascii="Times New Roman" w:hAnsi="Times New Roman" w:cs="Times New Roman"/>
        </w:rPr>
        <w:t>or mangan</w:t>
      </w:r>
      <w:r>
        <w:rPr>
          <w:rFonts w:hint="default" w:ascii="Times New Roman" w:hAnsi="Times New Roman" w:cs="Times New Roman"/>
          <w:lang w:val="en-US" w:eastAsia="zh-CN"/>
        </w:rPr>
        <w:t>e</w:t>
      </w:r>
      <w:r>
        <w:rPr>
          <w:rFonts w:hint="default" w:ascii="Times New Roman" w:hAnsi="Times New Roman" w:cs="Times New Roman"/>
        </w:rPr>
        <w:t>s</w:t>
      </w:r>
      <w:r>
        <w:rPr>
          <w:rFonts w:hint="default" w:ascii="Times New Roman" w:hAnsi="Times New Roman" w:cs="Times New Roman"/>
          <w:lang w:val="en-US" w:eastAsia="zh-CN"/>
        </w:rPr>
        <w:t>e</w:t>
      </w:r>
      <w:r>
        <w:rPr>
          <w:rFonts w:hint="default" w:ascii="Times New Roman" w:hAnsi="Times New Roman" w:cs="Times New Roman"/>
        </w:rPr>
        <w:t xml:space="preserve"> bas</w:t>
      </w:r>
      <w:r>
        <w:rPr>
          <w:rFonts w:hint="default" w:ascii="Times New Roman" w:hAnsi="Times New Roman" w:cs="Times New Roman"/>
          <w:lang w:val="en-US" w:eastAsia="zh-CN"/>
        </w:rPr>
        <w:t>e</w:t>
      </w:r>
      <w:r>
        <w:rPr>
          <w:rFonts w:hint="default" w:ascii="Times New Roman" w:hAnsi="Times New Roman" w:cs="Times New Roman"/>
        </w:rPr>
        <w:t xml:space="preserve">d </w:t>
      </w:r>
      <w:r>
        <w:rPr>
          <w:rFonts w:hint="default" w:ascii="Times New Roman" w:hAnsi="Times New Roman" w:cs="Times New Roman"/>
          <w:lang w:val="en-US" w:eastAsia="zh-CN"/>
        </w:rPr>
        <w:t xml:space="preserve">on </w:t>
      </w:r>
      <w:r>
        <w:rPr>
          <w:rFonts w:hint="default" w:ascii="Times New Roman" w:hAnsi="Times New Roman" w:cs="Times New Roman"/>
        </w:rPr>
        <w:t>n</w:t>
      </w:r>
      <w:r>
        <w:rPr>
          <w:rFonts w:hint="default" w:ascii="Times New Roman" w:hAnsi="Times New Roman" w:cs="Times New Roman"/>
          <w:lang w:val="en-US" w:eastAsia="zh-CN"/>
        </w:rPr>
        <w:t>e</w:t>
      </w:r>
      <w:r>
        <w:rPr>
          <w:rFonts w:hint="default" w:ascii="Times New Roman" w:hAnsi="Times New Roman" w:cs="Times New Roman"/>
        </w:rPr>
        <w:t xml:space="preserve">w </w:t>
      </w:r>
      <w:r>
        <w:rPr>
          <w:rFonts w:hint="default" w:ascii="Times New Roman" w:hAnsi="Times New Roman" w:cs="Times New Roman"/>
          <w:lang w:val="en-US" w:eastAsia="zh-CN"/>
        </w:rPr>
        <w:t>e</w:t>
      </w:r>
      <w:r>
        <w:rPr>
          <w:rFonts w:hint="default" w:ascii="Times New Roman" w:hAnsi="Times New Roman" w:cs="Times New Roman"/>
        </w:rPr>
        <w:t>n</w:t>
      </w:r>
      <w:r>
        <w:rPr>
          <w:rFonts w:hint="default" w:ascii="Times New Roman" w:hAnsi="Times New Roman" w:cs="Times New Roman"/>
          <w:lang w:val="en-US" w:eastAsia="zh-CN"/>
        </w:rPr>
        <w:t>e</w:t>
      </w:r>
      <w:r>
        <w:rPr>
          <w:rFonts w:hint="default" w:ascii="Times New Roman" w:hAnsi="Times New Roman" w:cs="Times New Roman"/>
        </w:rPr>
        <w:t>rgy mat</w:t>
      </w:r>
      <w:r>
        <w:rPr>
          <w:rFonts w:hint="default" w:ascii="Times New Roman" w:hAnsi="Times New Roman" w:cs="Times New Roman"/>
          <w:lang w:val="en-US" w:eastAsia="zh-CN"/>
        </w:rPr>
        <w:t>e</w:t>
      </w:r>
      <w:r>
        <w:rPr>
          <w:rFonts w:hint="default" w:ascii="Times New Roman" w:hAnsi="Times New Roman" w:cs="Times New Roman"/>
        </w:rPr>
        <w:t xml:space="preserve">rials </w:t>
      </w:r>
    </w:p>
    <w:p w14:paraId="0D10CDFA">
      <w:pPr>
        <w:pStyle w:val="73"/>
        <w:framePr w:h="4292" w:hRule="exact" w:wrap="around"/>
        <w:rPr>
          <w:rFonts w:hint="default" w:ascii="Times New Roman" w:hAnsi="Times New Roman" w:cs="Times New Roman"/>
        </w:rPr>
      </w:pPr>
    </w:p>
    <w:tbl>
      <w:tblPr>
        <w:tblStyle w:val="34"/>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4AC06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AFE9064">
            <w:pPr>
              <w:pStyle w:val="76"/>
              <w:framePr w:h="4292" w:hRule="exact" w:wrap="around"/>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w:rPr>
                <w:rFonts w:hint="default" w:ascii="Times New Roman" w:hAnsi="Times New Roman" w:cs="Times New Roman"/>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r>
              <w:rPr>
                <w:rFonts w:hint="default" w:ascii="Times New Roman" w:hAnsi="Times New Roman" w:cs="Times New Roman"/>
              </w:rPr>
              <w:t>（</w:t>
            </w:r>
            <w:r>
              <w:rPr>
                <w:rFonts w:hint="default" w:ascii="Times New Roman" w:hAnsi="Times New Roman" w:cs="Times New Roman"/>
                <w:lang w:val="en-US" w:eastAsia="zh-CN"/>
              </w:rPr>
              <w:t>征求意见</w:t>
            </w:r>
            <w:r>
              <w:rPr>
                <w:rFonts w:hint="default" w:ascii="Times New Roman" w:hAnsi="Times New Roman" w:cs="Times New Roman"/>
              </w:rPr>
              <w:t>稿）</w:t>
            </w:r>
          </w:p>
        </w:tc>
      </w:tr>
      <w:tr w14:paraId="79C64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D770824">
            <w:pPr>
              <w:pStyle w:val="75"/>
              <w:framePr w:h="4292" w:hRule="exact" w:wrap="around"/>
              <w:rPr>
                <w:rFonts w:hint="default" w:ascii="Times New Roman" w:hAnsi="Times New Roman" w:cs="Times New Roman"/>
              </w:rPr>
            </w:pPr>
          </w:p>
        </w:tc>
      </w:tr>
    </w:tbl>
    <w:p w14:paraId="16AF567C">
      <w:pPr>
        <w:pStyle w:val="119"/>
        <w:framePr w:wrap="around" w:hAnchor="page" w:x="1516" w:y="14110"/>
        <w:rPr>
          <w:rFonts w:hint="default" w:ascii="Times New Roman" w:hAnsi="Times New Roman" w:cs="Times New Roman"/>
        </w:rPr>
      </w:pPr>
      <w:r>
        <w:rPr>
          <w:rFonts w:hint="default" w:ascii="Times New Roman" w:hAnsi="Times New Roman" w:cs="Times New Roman"/>
        </w:rPr>
        <w:t xml:space="preserve">XXXX - </w:t>
      </w:r>
      <w:r>
        <w:rPr>
          <w:rFonts w:hint="default" w:ascii="Times New Roman" w:hAnsi="Times New Roman" w:cs="Times New Roman"/>
        </w:rPr>
        <w:fldChar w:fldCharType="begin">
          <w:ffData>
            <w:name w:val="FM"/>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ffData>
            <w:name w:val="FD"/>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发布</w:t>
      </w:r>
      <w:r>
        <w:rPr>
          <w:rFonts w:hint="default" w:ascii="Times New Roman" w:hAnsi="Times New Roman" w:cs="Times New Roman"/>
        </w:rPr>
        <mc:AlternateContent>
          <mc:Choice Requires="wps">
            <w:drawing>
              <wp:anchor distT="0" distB="0" distL="114300" distR="114300" simplePos="0" relativeHeight="251665408" behindDoc="0" locked="1" layoutInCell="1" allowOverlap="1">
                <wp:simplePos x="0" y="0"/>
                <wp:positionH relativeFrom="column">
                  <wp:posOffset>-635</wp:posOffset>
                </wp:positionH>
                <wp:positionV relativeFrom="page">
                  <wp:posOffset>9251950</wp:posOffset>
                </wp:positionV>
                <wp:extent cx="5697855" cy="5715"/>
                <wp:effectExtent l="0" t="4445" r="7620" b="8890"/>
                <wp:wrapNone/>
                <wp:docPr id="6" name="直线 10"/>
                <wp:cNvGraphicFramePr/>
                <a:graphic xmlns:a="http://schemas.openxmlformats.org/drawingml/2006/main">
                  <a:graphicData uri="http://schemas.microsoft.com/office/word/2010/wordprocessingShape">
                    <wps:wsp>
                      <wps:cNvCnPr/>
                      <wps:spPr>
                        <a:xfrm>
                          <a:off x="0" y="0"/>
                          <a:ext cx="5697855" cy="571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05pt;margin-top:728.5pt;height:0.45pt;width:448.65pt;mso-position-vertical-relative:page;z-index:251665408;mso-width-relative:page;mso-height-relative:page;" filled="f" stroked="t" coordsize="21600,21600" o:gfxdata="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PSQidcAAAALAQAA&#10;DwAAAAAAAAABACAAAAAiAAAAZHJzL2Rvd25yZXYueG1sUEsBAhQAFAAAAAgAh07iQHxIgLvhAQAA&#10;0wMAAA4AAAAAAAAAAQAgAAAAJgEAAGRycy9lMm9Eb2MueG1sUEsFBgAAAAAGAAYAWQEAAHkFAAAA&#10;AA==&#10;">
                <v:fill on="f" focussize="0,0"/>
                <v:stroke color="#000000" joinstyle="round"/>
                <v:imagedata o:title=""/>
                <o:lock v:ext="edit" aspectratio="f"/>
                <w10:anchorlock/>
              </v:line>
            </w:pict>
          </mc:Fallback>
        </mc:AlternateContent>
      </w:r>
    </w:p>
    <w:p w14:paraId="62A720A2">
      <w:pPr>
        <w:pStyle w:val="122"/>
        <w:framePr w:wrap="around" w:vAnchor="page" w:hAnchor="page" w:x="6506" w:y="14051"/>
        <w:rPr>
          <w:rFonts w:hint="default" w:ascii="Times New Roman" w:hAnsi="Times New Roman" w:cs="Times New Roman"/>
        </w:rPr>
      </w:pPr>
      <w:r>
        <w:rPr>
          <w:rFonts w:hint="default" w:ascii="Times New Roman" w:hAnsi="Times New Roman" w:cs="Times New Roman"/>
        </w:rPr>
        <w:t xml:space="preserve">XXXX - </w:t>
      </w:r>
      <w:r>
        <w:rPr>
          <w:rFonts w:hint="default" w:ascii="Times New Roman" w:hAnsi="Times New Roman" w:cs="Times New Roman"/>
        </w:rPr>
        <w:fldChar w:fldCharType="begin">
          <w:ffData>
            <w:name w:val="SM"/>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ffData>
            <w:name w:val="SD"/>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实施</w:t>
      </w:r>
    </w:p>
    <w:p w14:paraId="2A98B77B">
      <w:pPr>
        <w:pStyle w:val="24"/>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6432" behindDoc="0" locked="0" layoutInCell="1" allowOverlap="1">
                <wp:simplePos x="0" y="0"/>
                <wp:positionH relativeFrom="column">
                  <wp:posOffset>-82550</wp:posOffset>
                </wp:positionH>
                <wp:positionV relativeFrom="paragraph">
                  <wp:posOffset>1606550</wp:posOffset>
                </wp:positionV>
                <wp:extent cx="6120130" cy="0"/>
                <wp:effectExtent l="0" t="0" r="0" b="0"/>
                <wp:wrapNone/>
                <wp:docPr id="7"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6.5pt;margin-top:126.5pt;height:0pt;width:481.9pt;z-index:251666432;mso-width-relative:page;mso-height-relative:page;" filled="f" stroked="t" coordsize="21600,21600" o:gfxdata="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vEyvHXAAAACwEAAA8A&#10;AAAAAAAAAQAgAAAAIgAAAGRycy9kb3ducmV2LnhtbFBLAQIUABQAAAAIAIdO4kDHeVsc3wEAANAD&#10;AAAOAAAAAAAAAAEAIAAAACYBAABkcnMvZTJvRG9jLnhtbFBLBQYAAAAABgAGAFkBAAB3BQAAAAA=&#10;">
                <v:fill on="f" focussize="0,0"/>
                <v:stroke color="#000000" joinstyle="round"/>
                <v:imagedata o:title=""/>
                <o:lock v:ext="edit" aspectratio="f"/>
              </v:line>
            </w:pict>
          </mc:Fallback>
        </mc:AlternateContent>
      </w:r>
    </w:p>
    <w:p w14:paraId="616AAC0C">
      <w:pPr>
        <w:jc w:val="center"/>
        <w:rPr>
          <w:rFonts w:hint="default" w:ascii="Times New Roman" w:hAnsi="Times New Roman" w:eastAsia="黑体" w:cs="Times New Roman"/>
          <w:sz w:val="72"/>
          <w:szCs w:val="112"/>
        </w:rPr>
      </w:pPr>
    </w:p>
    <w:p w14:paraId="78701D28">
      <w:pPr>
        <w:pStyle w:val="103"/>
        <w:framePr w:w="0" w:hRule="auto" w:wrap="around" w:y="2393"/>
        <w:rPr>
          <w:rFonts w:hint="default" w:ascii="Times New Roman" w:hAnsi="Times New Roman" w:cs="Times New Roman"/>
        </w:rPr>
      </w:pPr>
      <w:r>
        <w:rPr>
          <w:rFonts w:hint="default" w:ascii="Times New Roman" w:hAnsi="Times New Roman" w:cs="Times New Roman"/>
        </w:rPr>
        <w:t>团体标准</w:t>
      </w:r>
    </w:p>
    <w:p w14:paraId="7C48B793">
      <w:pPr>
        <w:pStyle w:val="99"/>
        <w:framePr w:wrap="around" w:x="1548" w:y="3113"/>
        <w:rPr>
          <w:rFonts w:hint="default" w:ascii="Times New Roman" w:hAnsi="Times New Roman" w:cs="Times New Roman"/>
        </w:rPr>
      </w:pPr>
      <w:r>
        <w:rPr>
          <w:rFonts w:hint="default" w:ascii="Times New Roman" w:hAnsi="Times New Roman" w:cs="Times New Roman"/>
        </w:rPr>
        <w:t>T/MMAC XXX—XXXX</w:t>
      </w:r>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5D9F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354398AE">
            <w:pPr>
              <w:pStyle w:val="57"/>
              <w:framePr w:wrap="around" w:x="1548" w:y="3113"/>
              <w:ind w:right="105"/>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745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矩形 5"/>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372.8pt;margin-top:2.7pt;height:18pt;width:90pt;z-index:-25164902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mDyy9YA&#10;AAAIAQAADwAAAAAAAAABACAAAAAiAAAAZHJzL2Rvd25yZXYueG1sUEsBAhQAFAAAAAgAh07iQNW6&#10;GJSvAQAAXwMAAA4AAAAAAAAAAQAgAAAAJQEAAGRycy9lMm9Eb2MueG1sUEsFBgAAAAAGAAYAWQEA&#10;AEYFAAAAAA==&#10;">
                      <v:fill on="t" focussize="0,0"/>
                      <v:stroke on="f"/>
                      <v:imagedata o:title=""/>
                      <o:lock v:ext="edit" aspectratio="f"/>
                    </v:rect>
                  </w:pict>
                </mc:Fallback>
              </mc:AlternateContent>
            </w:r>
          </w:p>
        </w:tc>
      </w:tr>
    </w:tbl>
    <w:p w14:paraId="2843CA24">
      <w:pPr>
        <w:pStyle w:val="99"/>
        <w:framePr w:wrap="around" w:x="1548" w:y="3113"/>
        <w:rPr>
          <w:rFonts w:hint="default" w:ascii="Times New Roman" w:hAnsi="Times New Roman" w:cs="Times New Roman"/>
        </w:rPr>
      </w:pPr>
    </w:p>
    <w:p w14:paraId="6144810D">
      <w:pPr>
        <w:pStyle w:val="99"/>
        <w:framePr w:wrap="around" w:x="1548" w:y="3113"/>
        <w:rPr>
          <w:rFonts w:hint="default" w:ascii="Times New Roman" w:hAnsi="Times New Roman" w:cs="Times New Roman"/>
        </w:rPr>
      </w:pPr>
    </w:p>
    <w:p w14:paraId="48D13F09">
      <w:pPr>
        <w:jc w:val="center"/>
        <w:rPr>
          <w:rFonts w:hint="default" w:ascii="Times New Roman" w:hAnsi="Times New Roman" w:eastAsia="黑体" w:cs="Times New Roman"/>
          <w:sz w:val="96"/>
          <w:szCs w:val="144"/>
        </w:rPr>
      </w:pPr>
    </w:p>
    <w:p w14:paraId="043C7C8D">
      <w:pPr>
        <w:rPr>
          <w:rFonts w:hint="default" w:ascii="Times New Roman" w:hAnsi="Times New Roman" w:cs="Times New Roman"/>
        </w:rPr>
      </w:pPr>
    </w:p>
    <w:p w14:paraId="6FC79C49">
      <w:pPr>
        <w:pStyle w:val="19"/>
        <w:spacing w:before="120" w:after="120"/>
        <w:jc w:val="right"/>
        <w:rPr>
          <w:rFonts w:hint="default" w:ascii="Times New Roman" w:hAnsi="Times New Roman" w:eastAsia="黑体" w:cs="Times New Roman"/>
          <w:bCs/>
          <w:sz w:val="21"/>
          <w:szCs w:val="21"/>
        </w:rPr>
      </w:pPr>
    </w:p>
    <w:p w14:paraId="220A78EC">
      <w:pPr>
        <w:pStyle w:val="19"/>
        <w:spacing w:before="120" w:after="120"/>
        <w:jc w:val="right"/>
        <w:rPr>
          <w:rFonts w:hint="default" w:ascii="Times New Roman" w:hAnsi="Times New Roman" w:eastAsia="黑体" w:cs="Times New Roman"/>
          <w:bCs/>
          <w:sz w:val="21"/>
          <w:szCs w:val="21"/>
        </w:rPr>
      </w:pPr>
    </w:p>
    <w:p w14:paraId="50CE98BB">
      <w:pPr>
        <w:rPr>
          <w:rFonts w:hint="default" w:ascii="Times New Roman" w:hAnsi="Times New Roman" w:cs="Times New Roman"/>
        </w:rPr>
      </w:pPr>
    </w:p>
    <w:p w14:paraId="0AEBECE0">
      <w:pPr>
        <w:rPr>
          <w:rFonts w:hint="default" w:ascii="Times New Roman" w:hAnsi="Times New Roman" w:cs="Times New Roman"/>
        </w:rPr>
      </w:pPr>
    </w:p>
    <w:p w14:paraId="1C7F7F85">
      <w:pPr>
        <w:rPr>
          <w:rFonts w:hint="default" w:ascii="Times New Roman" w:hAnsi="Times New Roman" w:cs="Times New Roman"/>
        </w:rPr>
      </w:pPr>
    </w:p>
    <w:p w14:paraId="0ADAF020">
      <w:pPr>
        <w:pStyle w:val="136"/>
        <w:framePr w:y="15310"/>
        <w:rPr>
          <w:rFonts w:hint="default" w:ascii="Times New Roman" w:hAnsi="Times New Roman" w:cs="Times New Roman"/>
        </w:rPr>
      </w:pPr>
      <w:r>
        <w:rPr>
          <w:rFonts w:hint="default" w:ascii="Times New Roman" w:hAnsi="Times New Roman" w:cs="Times New Roman"/>
          <w:sz w:val="36"/>
          <w:szCs w:val="36"/>
        </w:rPr>
        <w:t>中国冶金矿山企业协会</w:t>
      </w:r>
      <w:r>
        <w:rPr>
          <w:rFonts w:hint="default" w:ascii="Times New Roman" w:hAnsi="Times New Roman" w:eastAsia="黑体" w:cs="Times New Roman"/>
        </w:rPr>
        <w:t>发布</w:t>
      </w:r>
    </w:p>
    <w:p w14:paraId="25E61738">
      <w:pPr>
        <w:pStyle w:val="137"/>
        <w:rPr>
          <w:rFonts w:hint="default" w:ascii="Times New Roman" w:hAnsi="Times New Roman" w:cs="Times New Roman"/>
        </w:rPr>
      </w:pPr>
    </w:p>
    <w:p w14:paraId="0B0003EB">
      <w:pPr>
        <w:rPr>
          <w:rFonts w:hint="default" w:ascii="Times New Roman" w:hAnsi="Times New Roman" w:cs="Times New Roman"/>
        </w:rPr>
        <w:sectPr>
          <w:headerReference r:id="rId3" w:type="default"/>
          <w:pgSz w:w="11911" w:h="16838"/>
          <w:pgMar w:top="1134" w:right="1417" w:bottom="1134" w:left="1417" w:header="1429" w:footer="0" w:gutter="0"/>
          <w:pgNumType w:fmt="decimal" w:start="1"/>
          <w:cols w:space="0" w:num="1"/>
          <w:formProt w:val="0"/>
          <w:docGrid w:linePitch="312" w:charSpace="0"/>
        </w:sectPr>
      </w:pPr>
    </w:p>
    <w:p w14:paraId="372F7A22">
      <w:pPr>
        <w:rPr>
          <w:rFonts w:hint="default" w:ascii="Times New Roman" w:hAnsi="Times New Roman" w:cs="Times New Roman"/>
        </w:rPr>
      </w:pPr>
    </w:p>
    <w:p w14:paraId="7ED01CDB">
      <w:pPr>
        <w:rPr>
          <w:rFonts w:hint="default" w:ascii="Times New Roman" w:hAnsi="Times New Roman" w:cs="Times New Roman"/>
        </w:rPr>
      </w:pPr>
    </w:p>
    <w:p w14:paraId="10DC4892">
      <w:pPr>
        <w:rPr>
          <w:rFonts w:hint="default" w:ascii="Times New Roman" w:hAnsi="Times New Roman" w:cs="Times New Roman"/>
        </w:rPr>
      </w:pPr>
    </w:p>
    <w:p w14:paraId="10A517FB">
      <w:pPr>
        <w:rPr>
          <w:rFonts w:hint="default" w:ascii="Times New Roman" w:hAnsi="Times New Roman" w:cs="Times New Roman"/>
        </w:rPr>
      </w:pPr>
    </w:p>
    <w:p w14:paraId="7F4A0C4B">
      <w:pPr>
        <w:rPr>
          <w:rFonts w:hint="default" w:ascii="Times New Roman" w:hAnsi="Times New Roman" w:cs="Times New Roman"/>
        </w:rPr>
      </w:pPr>
    </w:p>
    <w:p w14:paraId="7B820B78">
      <w:pPr>
        <w:rPr>
          <w:rFonts w:hint="default" w:ascii="Times New Roman" w:hAnsi="Times New Roman" w:cs="Times New Roman"/>
        </w:rPr>
      </w:pPr>
    </w:p>
    <w:p w14:paraId="2894F470">
      <w:pPr>
        <w:rPr>
          <w:rFonts w:hint="default" w:ascii="Times New Roman" w:hAnsi="Times New Roman" w:cs="Times New Roman"/>
        </w:rPr>
      </w:pPr>
    </w:p>
    <w:p w14:paraId="4441B378">
      <w:pPr>
        <w:rPr>
          <w:rFonts w:hint="default" w:ascii="Times New Roman" w:hAnsi="Times New Roman" w:cs="Times New Roman"/>
        </w:rPr>
      </w:pPr>
    </w:p>
    <w:p w14:paraId="4C17F4C9">
      <w:pPr>
        <w:rPr>
          <w:rFonts w:hint="default" w:ascii="Times New Roman" w:hAnsi="Times New Roman" w:cs="Times New Roman"/>
        </w:rPr>
      </w:pPr>
    </w:p>
    <w:p w14:paraId="12998F46">
      <w:pPr>
        <w:rPr>
          <w:rFonts w:hint="default" w:ascii="Times New Roman" w:hAnsi="Times New Roman" w:cs="Times New Roman"/>
        </w:rPr>
      </w:pPr>
    </w:p>
    <w:p w14:paraId="3A3F47B4">
      <w:pPr>
        <w:rPr>
          <w:rFonts w:hint="default" w:ascii="Times New Roman" w:hAnsi="Times New Roman" w:cs="Times New Roman"/>
        </w:rPr>
      </w:pPr>
    </w:p>
    <w:p w14:paraId="3E40AF7C">
      <w:pPr>
        <w:rPr>
          <w:rFonts w:hint="default" w:ascii="Times New Roman" w:hAnsi="Times New Roman" w:cs="Times New Roman"/>
        </w:rPr>
      </w:pPr>
    </w:p>
    <w:p w14:paraId="5E5780AB">
      <w:pPr>
        <w:rPr>
          <w:rFonts w:hint="default" w:ascii="Times New Roman" w:hAnsi="Times New Roman" w:cs="Times New Roman"/>
        </w:rPr>
      </w:pPr>
    </w:p>
    <w:p w14:paraId="22339664">
      <w:pPr>
        <w:rPr>
          <w:rFonts w:hint="default" w:ascii="Times New Roman" w:hAnsi="Times New Roman" w:cs="Times New Roman"/>
        </w:rPr>
      </w:pPr>
    </w:p>
    <w:p w14:paraId="1DC52B48">
      <w:pPr>
        <w:rPr>
          <w:rFonts w:hint="default" w:ascii="Times New Roman" w:hAnsi="Times New Roman" w:cs="Times New Roman"/>
        </w:rPr>
      </w:pPr>
    </w:p>
    <w:p w14:paraId="36D6ADC8">
      <w:pPr>
        <w:rPr>
          <w:rFonts w:hint="default" w:ascii="Times New Roman" w:hAnsi="Times New Roman" w:cs="Times New Roman"/>
        </w:rPr>
      </w:pPr>
    </w:p>
    <w:p w14:paraId="113DE0D1">
      <w:pPr>
        <w:rPr>
          <w:rFonts w:hint="default" w:ascii="Times New Roman" w:hAnsi="Times New Roman" w:cs="Times New Roman"/>
        </w:rPr>
      </w:pPr>
    </w:p>
    <w:p w14:paraId="497F8D32">
      <w:pPr>
        <w:rPr>
          <w:rFonts w:hint="default" w:ascii="Times New Roman" w:hAnsi="Times New Roman" w:cs="Times New Roman"/>
        </w:rPr>
      </w:pPr>
    </w:p>
    <w:p w14:paraId="75F9886F">
      <w:pPr>
        <w:rPr>
          <w:rFonts w:hint="default" w:ascii="Times New Roman" w:hAnsi="Times New Roman" w:cs="Times New Roman"/>
        </w:rPr>
      </w:pPr>
    </w:p>
    <w:p w14:paraId="1E9ACF26">
      <w:pPr>
        <w:rPr>
          <w:rFonts w:hint="default" w:ascii="Times New Roman" w:hAnsi="Times New Roman" w:cs="Times New Roman"/>
        </w:rPr>
      </w:pPr>
    </w:p>
    <w:p w14:paraId="495D045E">
      <w:pPr>
        <w:rPr>
          <w:rFonts w:hint="default" w:ascii="Times New Roman" w:hAnsi="Times New Roman" w:cs="Times New Roman"/>
        </w:rPr>
      </w:pPr>
    </w:p>
    <w:p w14:paraId="7DF8881B">
      <w:pPr>
        <w:rPr>
          <w:rFonts w:hint="default" w:ascii="Times New Roman" w:hAnsi="Times New Roman" w:cs="Times New Roman"/>
        </w:rPr>
      </w:pPr>
    </w:p>
    <w:p w14:paraId="128D8C70">
      <w:pPr>
        <w:pStyle w:val="33"/>
        <w:ind w:left="420"/>
        <w:rPr>
          <w:rFonts w:hint="default" w:ascii="Times New Roman" w:hAnsi="Times New Roman" w:cs="Times New Roman"/>
        </w:rPr>
      </w:pPr>
    </w:p>
    <w:p w14:paraId="0EC0B688">
      <w:pPr>
        <w:rPr>
          <w:rFonts w:hint="default" w:ascii="Times New Roman" w:hAnsi="Times New Roman" w:cs="Times New Roman"/>
        </w:rPr>
      </w:pPr>
    </w:p>
    <w:p w14:paraId="45142EC7">
      <w:pPr>
        <w:pStyle w:val="33"/>
        <w:ind w:left="420"/>
        <w:rPr>
          <w:rFonts w:hint="default" w:ascii="Times New Roman" w:hAnsi="Times New Roman" w:cs="Times New Roman"/>
        </w:rPr>
      </w:pPr>
    </w:p>
    <w:p w14:paraId="593B4EFE">
      <w:pPr>
        <w:rPr>
          <w:rFonts w:hint="default" w:ascii="Times New Roman" w:hAnsi="Times New Roman" w:cs="Times New Roman"/>
        </w:rPr>
      </w:pPr>
    </w:p>
    <w:p w14:paraId="40FDC035">
      <w:pPr>
        <w:pStyle w:val="33"/>
        <w:ind w:left="420"/>
        <w:rPr>
          <w:rFonts w:hint="default" w:ascii="Times New Roman" w:hAnsi="Times New Roman" w:cs="Times New Roman"/>
        </w:rPr>
      </w:pPr>
    </w:p>
    <w:p w14:paraId="0D733E0D">
      <w:pPr>
        <w:rPr>
          <w:rFonts w:hint="default" w:ascii="Times New Roman" w:hAnsi="Times New Roman" w:cs="Times New Roman"/>
        </w:rPr>
      </w:pPr>
    </w:p>
    <w:p w14:paraId="5F59F141">
      <w:pPr>
        <w:pStyle w:val="33"/>
        <w:ind w:left="420"/>
        <w:rPr>
          <w:rFonts w:hint="default" w:ascii="Times New Roman" w:hAnsi="Times New Roman" w:cs="Times New Roman"/>
        </w:rPr>
      </w:pPr>
    </w:p>
    <w:p w14:paraId="3D89BE5D">
      <w:pPr>
        <w:rPr>
          <w:rFonts w:hint="default" w:ascii="Times New Roman" w:hAnsi="Times New Roman" w:cs="Times New Roman"/>
        </w:rPr>
      </w:pPr>
    </w:p>
    <w:p w14:paraId="71EC0A76">
      <w:pPr>
        <w:pStyle w:val="33"/>
        <w:ind w:left="420"/>
        <w:rPr>
          <w:rFonts w:hint="default" w:ascii="Times New Roman" w:hAnsi="Times New Roman" w:cs="Times New Roman"/>
        </w:rPr>
      </w:pPr>
    </w:p>
    <w:p w14:paraId="6F12E137">
      <w:pPr>
        <w:rPr>
          <w:rFonts w:hint="default" w:ascii="Times New Roman" w:hAnsi="Times New Roman" w:cs="Times New Roman"/>
        </w:rPr>
      </w:pPr>
    </w:p>
    <w:p w14:paraId="734545B0">
      <w:pPr>
        <w:pStyle w:val="33"/>
        <w:ind w:left="420"/>
        <w:rPr>
          <w:rFonts w:hint="default" w:ascii="Times New Roman" w:hAnsi="Times New Roman" w:cs="Times New Roman"/>
        </w:rPr>
      </w:pPr>
    </w:p>
    <w:p w14:paraId="209041C3">
      <w:pPr>
        <w:rPr>
          <w:rFonts w:hint="default" w:ascii="Times New Roman" w:hAnsi="Times New Roman" w:cs="Times New Roman"/>
        </w:rPr>
      </w:pPr>
    </w:p>
    <w:p w14:paraId="28478D01">
      <w:pPr>
        <w:pStyle w:val="33"/>
        <w:ind w:left="420"/>
        <w:rPr>
          <w:rFonts w:hint="default" w:ascii="Times New Roman" w:hAnsi="Times New Roman" w:cs="Times New Roman"/>
        </w:rPr>
      </w:pPr>
    </w:p>
    <w:p w14:paraId="6E01070A">
      <w:pPr>
        <w:rPr>
          <w:rFonts w:hint="default" w:ascii="Times New Roman" w:hAnsi="Times New Roman" w:cs="Times New Roman"/>
        </w:rPr>
      </w:pPr>
    </w:p>
    <w:p w14:paraId="206EC7B0">
      <w:pPr>
        <w:rPr>
          <w:rFonts w:hint="default" w:ascii="Times New Roman" w:hAnsi="Times New Roman" w:cs="Times New Roman"/>
        </w:rPr>
      </w:pPr>
    </w:p>
    <w:p w14:paraId="06D98296">
      <w:pPr>
        <w:rPr>
          <w:rFonts w:hint="default" w:ascii="Times New Roman" w:hAnsi="Times New Roman" w:cs="Times New Roman"/>
        </w:rPr>
      </w:pPr>
      <w:r>
        <w:rPr>
          <w:rFonts w:hint="default" w:ascii="Times New Roman" w:hAnsi="Times New Roman" w:cs="Times New Roman"/>
        </w:rPr>
        <w:drawing>
          <wp:inline distT="0" distB="0" distL="114300" distR="114300">
            <wp:extent cx="812165" cy="768350"/>
            <wp:effectExtent l="0" t="0" r="6985" b="1270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812165" cy="768350"/>
                    </a:xfrm>
                    <a:prstGeom prst="rect">
                      <a:avLst/>
                    </a:prstGeom>
                    <a:noFill/>
                    <a:ln>
                      <a:noFill/>
                    </a:ln>
                  </pic:spPr>
                </pic:pic>
              </a:graphicData>
            </a:graphic>
          </wp:inline>
        </w:drawing>
      </w:r>
      <w:r>
        <w:rPr>
          <w:rFonts w:hint="default" w:ascii="Times New Roman" w:hAnsi="Times New Roman" w:cs="Times New Roman"/>
        </w:rPr>
        <w:t>版权保护文件</w:t>
      </w:r>
    </w:p>
    <w:p w14:paraId="18146B94">
      <w:pPr>
        <w:rPr>
          <w:rFonts w:hint="default" w:ascii="Times New Roman" w:hAnsi="Times New Roman" w:cs="Times New Roman"/>
        </w:rPr>
        <w:sectPr>
          <w:headerReference r:id="rId4" w:type="default"/>
          <w:footerReference r:id="rId5" w:type="default"/>
          <w:pgSz w:w="11911" w:h="16838"/>
          <w:pgMar w:top="1134" w:right="1417" w:bottom="1134" w:left="1417" w:header="1429" w:footer="0" w:gutter="0"/>
          <w:pgNumType w:fmt="decimal" w:start="1"/>
          <w:cols w:space="0" w:num="1"/>
          <w:formProt w:val="0"/>
          <w:docGrid w:linePitch="312" w:charSpace="0"/>
        </w:sectPr>
      </w:pPr>
      <w:r>
        <w:rPr>
          <w:rFonts w:hint="default" w:ascii="Times New Roman" w:hAnsi="Times New Roman" w:cs="Times New Roman"/>
        </w:rPr>
        <w:t>版权所有归属于该标准的发布机构。除非有其他规定，否则未经许可，此发行物及其章节不得以其他形式或任何手段进行复制、再版或使用，包括电子版，影印件，或发布在互联网及内部网络等。使用许可可于发布机构获取。</w:t>
      </w:r>
    </w:p>
    <w:sdt>
      <w:sdtPr>
        <w:rPr>
          <w:rFonts w:hint="default" w:ascii="Times New Roman" w:hAnsi="Times New Roman" w:cs="Times New Roman"/>
          <w:sz w:val="32"/>
          <w:szCs w:val="40"/>
        </w:rPr>
        <w:id w:val="147452713"/>
        <w15:color w:val="DBDBDB"/>
        <w:docPartObj>
          <w:docPartGallery w:val="Table of Contents"/>
          <w:docPartUnique/>
        </w:docPartObj>
      </w:sdtPr>
      <w:sdtEndPr>
        <w:rPr>
          <w:rFonts w:hint="default" w:ascii="Times New Roman" w:hAnsi="Times New Roman" w:cs="Times New Roman"/>
          <w:sz w:val="32"/>
          <w:szCs w:val="40"/>
        </w:rPr>
      </w:sdtEndPr>
      <w:sdtContent>
        <w:p w14:paraId="4B2C62B8">
          <w:pPr>
            <w:jc w:val="center"/>
            <w:rPr>
              <w:rFonts w:hint="default" w:ascii="Times New Roman" w:hAnsi="Times New Roman" w:cs="Times New Roman"/>
              <w:sz w:val="32"/>
              <w:szCs w:val="40"/>
              <w:lang w:val="en-US" w:eastAsia="zh-CN"/>
            </w:rPr>
          </w:pPr>
          <w:bookmarkStart w:id="1" w:name="_Toc14303"/>
          <w:r>
            <w:rPr>
              <w:rFonts w:hint="default" w:ascii="Times New Roman" w:hAnsi="Times New Roman" w:cs="Times New Roman"/>
              <w:sz w:val="32"/>
              <w:szCs w:val="40"/>
            </w:rPr>
            <w:t>目</w:t>
          </w:r>
          <w:r>
            <w:rPr>
              <w:rFonts w:hint="default" w:ascii="Times New Roman" w:hAnsi="Times New Roman" w:cs="Times New Roman"/>
              <w:sz w:val="32"/>
              <w:szCs w:val="40"/>
            </w:rPr>
            <w:t xml:space="preserve">  </w:t>
          </w:r>
          <w:r>
            <w:rPr>
              <w:rFonts w:hint="default" w:ascii="Times New Roman" w:hAnsi="Times New Roman" w:cs="Times New Roman"/>
              <w:sz w:val="32"/>
              <w:szCs w:val="40"/>
              <w:lang w:val="en-US" w:eastAsia="zh-CN"/>
            </w:rPr>
            <w:t>次</w:t>
          </w:r>
        </w:p>
        <w:p w14:paraId="3558BBBE">
          <w:pPr>
            <w:jc w:val="center"/>
            <w:rPr>
              <w:rFonts w:hint="default" w:ascii="Times New Roman" w:hAnsi="Times New Roman" w:cs="Times New Roman"/>
              <w:sz w:val="32"/>
              <w:szCs w:val="40"/>
            </w:rPr>
          </w:pPr>
        </w:p>
        <w:p w14:paraId="1F5B3714">
          <w:pPr>
            <w:pStyle w:val="20"/>
            <w:tabs>
              <w:tab w:val="right" w:leader="dot" w:pos="9077"/>
              <w:tab w:val="clear" w:pos="9241"/>
            </w:tabs>
            <w:rPr>
              <w:rFonts w:hint="default" w:ascii="Times New Roman" w:hAnsi="Times New Roman" w:cs="Times New Roman"/>
            </w:rPr>
          </w:pPr>
          <w:r>
            <w:rPr>
              <w:rFonts w:hint="default" w:ascii="Times New Roman" w:hAnsi="Times New Roman" w:eastAsia="黑体" w:cs="Times New Roman"/>
              <w:bCs/>
              <w:szCs w:val="28"/>
            </w:rPr>
            <w:fldChar w:fldCharType="begin"/>
          </w:r>
          <w:r>
            <w:rPr>
              <w:rFonts w:hint="default" w:ascii="Times New Roman" w:hAnsi="Times New Roman" w:eastAsia="黑体" w:cs="Times New Roman"/>
              <w:bCs/>
              <w:szCs w:val="28"/>
            </w:rPr>
            <w:instrText xml:space="preserve">TOC \o "1-1" \h \u </w:instrText>
          </w:r>
          <w:r>
            <w:rPr>
              <w:rFonts w:hint="default" w:ascii="Times New Roman" w:hAnsi="Times New Roman" w:eastAsia="黑体" w:cs="Times New Roman"/>
              <w:bCs/>
              <w:szCs w:val="28"/>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_Toc31477 </w:instrText>
          </w:r>
          <w:r>
            <w:rPr>
              <w:rFonts w:hint="default" w:ascii="Times New Roman" w:hAnsi="Times New Roman" w:cs="Times New Roman"/>
            </w:rPr>
            <w:fldChar w:fldCharType="separate"/>
          </w:r>
          <w:r>
            <w:rPr>
              <w:rFonts w:hint="default" w:ascii="Times New Roman" w:hAnsi="Times New Roman" w:cs="Times New Roman"/>
            </w:rPr>
            <w:t>前</w:t>
          </w:r>
          <w:r>
            <w:rPr>
              <w:rFonts w:hint="default" w:ascii="Times New Roman" w:hAnsi="Times New Roman" w:cs="Times New Roman"/>
              <w:lang w:val="en-US" w:eastAsia="zh-CN"/>
            </w:rPr>
            <w:t xml:space="preserve">  </w:t>
          </w:r>
          <w:r>
            <w:rPr>
              <w:rFonts w:hint="default" w:ascii="Times New Roman" w:hAnsi="Times New Roman" w:cs="Times New Roman"/>
            </w:rPr>
            <w:t>言</w:t>
          </w:r>
          <w:r>
            <w:rPr>
              <w:rFonts w:hint="default" w:ascii="Times New Roman" w:hAnsi="Times New Roman" w:cs="Times New Roman"/>
            </w:rPr>
            <w:tab/>
          </w:r>
          <w:r>
            <w:rPr>
              <w:rFonts w:hint="default" w:ascii="Times New Roman" w:hAnsi="Times New Roman" w:cs="Times New Roman"/>
              <w:lang w:eastAsia="zh-CN"/>
            </w:rPr>
            <w:t>Ⅲ</w:t>
          </w:r>
          <w:r>
            <w:rPr>
              <w:rFonts w:hint="default" w:ascii="Times New Roman" w:hAnsi="Times New Roman" w:cs="Times New Roman"/>
            </w:rPr>
            <w:fldChar w:fldCharType="end"/>
          </w:r>
        </w:p>
        <w:p w14:paraId="526C6096">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_Toc28458 </w:instrText>
          </w:r>
          <w:r>
            <w:rPr>
              <w:rFonts w:hint="default" w:ascii="Times New Roman" w:hAnsi="Times New Roman" w:cs="Times New Roman"/>
            </w:rPr>
            <w:fldChar w:fldCharType="separate"/>
          </w:r>
          <w:r>
            <w:rPr>
              <w:rFonts w:hint="default" w:ascii="Times New Roman" w:hAnsi="Times New Roman" w:cs="Times New Roman"/>
              <w:bCs w:val="0"/>
              <w:szCs w:val="28"/>
            </w:rPr>
            <w:t>1 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_Toc28458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14:paraId="6E4EC7B2">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_Toc5510 </w:instrText>
          </w:r>
          <w:r>
            <w:rPr>
              <w:rFonts w:hint="default" w:ascii="Times New Roman" w:hAnsi="Times New Roman" w:cs="Times New Roman"/>
            </w:rPr>
            <w:fldChar w:fldCharType="separate"/>
          </w:r>
          <w:r>
            <w:rPr>
              <w:rFonts w:hint="default" w:ascii="Times New Roman" w:hAnsi="Times New Roman" w:cs="Times New Roman"/>
              <w:bCs w:val="0"/>
              <w:szCs w:val="28"/>
            </w:rPr>
            <w:t>2 规范性引用文件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_Toc5510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14:paraId="56BAF088">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_Toc15027 </w:instrText>
          </w:r>
          <w:r>
            <w:rPr>
              <w:rFonts w:hint="default" w:ascii="Times New Roman" w:hAnsi="Times New Roman" w:cs="Times New Roman"/>
            </w:rPr>
            <w:fldChar w:fldCharType="separate"/>
          </w:r>
          <w:r>
            <w:rPr>
              <w:rFonts w:hint="default" w:ascii="Times New Roman" w:hAnsi="Times New Roman" w:cs="Times New Roman"/>
              <w:bCs w:val="0"/>
              <w:szCs w:val="28"/>
              <w:lang w:eastAsia="zh-CN"/>
            </w:rPr>
            <w:t>3</w:t>
          </w:r>
          <w:r>
            <w:rPr>
              <w:rFonts w:hint="default" w:ascii="Times New Roman" w:hAnsi="Times New Roman" w:cs="Times New Roman"/>
              <w:bCs w:val="0"/>
              <w:szCs w:val="28"/>
            </w:rPr>
            <w:t xml:space="preserve"> 术语和定义</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_Toc15027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14:paraId="56A8A9D2">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_Toc5978 </w:instrText>
          </w:r>
          <w:r>
            <w:rPr>
              <w:rFonts w:hint="default" w:ascii="Times New Roman" w:hAnsi="Times New Roman" w:cs="Times New Roman"/>
            </w:rPr>
            <w:fldChar w:fldCharType="separate"/>
          </w:r>
          <w:r>
            <w:rPr>
              <w:rFonts w:hint="default" w:ascii="Times New Roman" w:hAnsi="Times New Roman" w:cs="Times New Roman"/>
              <w:bCs w:val="0"/>
              <w:szCs w:val="28"/>
              <w:lang w:eastAsia="zh-CN"/>
            </w:rPr>
            <w:t>4</w:t>
          </w:r>
          <w:r>
            <w:rPr>
              <w:rFonts w:hint="default" w:ascii="Times New Roman" w:hAnsi="Times New Roman" w:cs="Times New Roman"/>
              <w:bCs w:val="0"/>
              <w:szCs w:val="28"/>
            </w:rPr>
            <w:t xml:space="preserve"> 牌号表示方法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_Toc5978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14:paraId="31911BE5">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_Toc7690 </w:instrText>
          </w:r>
          <w:r>
            <w:rPr>
              <w:rFonts w:hint="default" w:ascii="Times New Roman" w:hAnsi="Times New Roman" w:cs="Times New Roman"/>
            </w:rPr>
            <w:fldChar w:fldCharType="separate"/>
          </w:r>
          <w:r>
            <w:rPr>
              <w:rFonts w:hint="default" w:ascii="Times New Roman" w:hAnsi="Times New Roman" w:cs="Times New Roman"/>
              <w:bCs w:val="0"/>
              <w:szCs w:val="28"/>
              <w:lang w:val="en-US" w:eastAsia="zh-CN"/>
            </w:rPr>
            <w:t>5</w:t>
          </w:r>
          <w:r>
            <w:rPr>
              <w:rFonts w:hint="default" w:ascii="Times New Roman" w:hAnsi="Times New Roman" w:cs="Times New Roman"/>
              <w:bCs w:val="0"/>
              <w:szCs w:val="28"/>
            </w:rPr>
            <w:t xml:space="preserve"> </w:t>
          </w:r>
          <w:r>
            <w:rPr>
              <w:rFonts w:hint="default" w:ascii="Times New Roman" w:hAnsi="Times New Roman" w:cs="Times New Roman"/>
              <w:bCs w:val="0"/>
              <w:szCs w:val="28"/>
              <w:lang w:val="en-US" w:eastAsia="zh-CN"/>
            </w:rPr>
            <w:t>技术要求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_Toc7690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14:paraId="0EA0DD4D">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_Toc28797 </w:instrText>
          </w:r>
          <w:r>
            <w:rPr>
              <w:rFonts w:hint="default" w:ascii="Times New Roman" w:hAnsi="Times New Roman" w:cs="Times New Roman"/>
            </w:rPr>
            <w:fldChar w:fldCharType="separate"/>
          </w:r>
          <w:r>
            <w:rPr>
              <w:rFonts w:hint="default" w:ascii="Times New Roman" w:hAnsi="Times New Roman" w:cs="Times New Roman"/>
              <w:bCs w:val="0"/>
              <w:szCs w:val="28"/>
            </w:rPr>
            <w:t>6 试验方法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_Toc28797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14:paraId="22F6D173">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_Toc20556 </w:instrText>
          </w:r>
          <w:r>
            <w:rPr>
              <w:rFonts w:hint="default" w:ascii="Times New Roman" w:hAnsi="Times New Roman" w:cs="Times New Roman"/>
            </w:rPr>
            <w:fldChar w:fldCharType="separate"/>
          </w:r>
          <w:r>
            <w:rPr>
              <w:rFonts w:hint="default" w:ascii="Times New Roman" w:hAnsi="Times New Roman" w:cs="Times New Roman"/>
              <w:bCs w:val="0"/>
              <w:szCs w:val="28"/>
            </w:rPr>
            <w:t>7 检验规则</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_Toc20556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14:paraId="57C2AC37">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_Toc19290 </w:instrText>
          </w:r>
          <w:r>
            <w:rPr>
              <w:rFonts w:hint="default" w:ascii="Times New Roman" w:hAnsi="Times New Roman" w:cs="Times New Roman"/>
            </w:rPr>
            <w:fldChar w:fldCharType="separate"/>
          </w:r>
          <w:r>
            <w:rPr>
              <w:rFonts w:hint="default" w:ascii="Times New Roman" w:hAnsi="Times New Roman" w:cs="Times New Roman"/>
              <w:kern w:val="0"/>
              <w:szCs w:val="28"/>
              <w:lang w:val="en-US" w:eastAsia="zh-CN"/>
            </w:rPr>
            <w:t xml:space="preserve">8 </w:t>
          </w:r>
          <w:r>
            <w:rPr>
              <w:rFonts w:hint="default" w:ascii="Times New Roman" w:hAnsi="Times New Roman" w:cs="Times New Roman"/>
              <w:kern w:val="0"/>
              <w:szCs w:val="28"/>
            </w:rPr>
            <w:t>包装</w:t>
          </w:r>
          <w:r>
            <w:rPr>
              <w:rFonts w:hint="default" w:ascii="Times New Roman" w:hAnsi="Times New Roman" w:cs="Times New Roman"/>
              <w:kern w:val="0"/>
              <w:szCs w:val="28"/>
              <w:lang w:eastAsia="zh-CN"/>
            </w:rPr>
            <w:t>、</w:t>
          </w:r>
          <w:r>
            <w:rPr>
              <w:rFonts w:hint="default" w:ascii="Times New Roman" w:hAnsi="Times New Roman" w:cs="Times New Roman"/>
              <w:kern w:val="0"/>
              <w:szCs w:val="28"/>
              <w:lang w:val="en-US" w:eastAsia="zh-CN"/>
            </w:rPr>
            <w:t>储运、标志和质量证明书</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_Toc19290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14:paraId="68E57585">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_Toc27378 </w:instrText>
          </w:r>
          <w:r>
            <w:rPr>
              <w:rFonts w:hint="default" w:ascii="Times New Roman" w:hAnsi="Times New Roman" w:cs="Times New Roman"/>
            </w:rPr>
            <w:fldChar w:fldCharType="separate"/>
          </w:r>
          <w:r>
            <w:rPr>
              <w:rFonts w:hint="default" w:ascii="Times New Roman" w:hAnsi="Times New Roman" w:eastAsia="宋体" w:cs="Times New Roman"/>
              <w:szCs w:val="24"/>
            </w:rPr>
            <w:t>附 录A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_Toc27378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fldChar w:fldCharType="end"/>
          </w:r>
        </w:p>
        <w:p w14:paraId="61502703">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_Toc31062 </w:instrText>
          </w:r>
          <w:r>
            <w:rPr>
              <w:rFonts w:hint="default" w:ascii="Times New Roman" w:hAnsi="Times New Roman" w:cs="Times New Roman"/>
            </w:rPr>
            <w:fldChar w:fldCharType="separate"/>
          </w:r>
          <w:r>
            <w:rPr>
              <w:rFonts w:hint="default" w:ascii="Times New Roman" w:hAnsi="Times New Roman" w:cs="Times New Roman"/>
              <w:szCs w:val="24"/>
            </w:rPr>
            <w:t>附 录B</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_Toc31062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cs="Times New Roman"/>
            </w:rPr>
            <w:fldChar w:fldCharType="end"/>
          </w:r>
        </w:p>
        <w:p w14:paraId="426E79F8">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_Toc26707 </w:instrText>
          </w:r>
          <w:r>
            <w:rPr>
              <w:rFonts w:hint="default" w:ascii="Times New Roman" w:hAnsi="Times New Roman" w:cs="Times New Roman"/>
            </w:rPr>
            <w:fldChar w:fldCharType="separate"/>
          </w:r>
          <w:r>
            <w:rPr>
              <w:rFonts w:hint="default" w:ascii="Times New Roman" w:hAnsi="Times New Roman" w:cs="Times New Roman"/>
              <w:szCs w:val="24"/>
            </w:rPr>
            <w:t>附 录C</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_Toc26707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rPr>
            <w:fldChar w:fldCharType="end"/>
          </w:r>
        </w:p>
        <w:p w14:paraId="41AF9677">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_Toc26573 </w:instrText>
          </w:r>
          <w:r>
            <w:rPr>
              <w:rFonts w:hint="default" w:ascii="Times New Roman" w:hAnsi="Times New Roman" w:cs="Times New Roman"/>
            </w:rPr>
            <w:fldChar w:fldCharType="separate"/>
          </w:r>
          <w:r>
            <w:rPr>
              <w:rFonts w:hint="default" w:ascii="Times New Roman" w:hAnsi="Times New Roman" w:cs="Times New Roman"/>
              <w:szCs w:val="24"/>
            </w:rPr>
            <w:t>附 录D</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_Toc26573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rPr>
            <w:fldChar w:fldCharType="end"/>
          </w:r>
        </w:p>
        <w:p w14:paraId="1B04F797">
          <w:pPr>
            <w:pStyle w:val="20"/>
            <w:tabs>
              <w:tab w:val="right" w:leader="dot" w:pos="9077"/>
              <w:tab w:val="clear" w:pos="9241"/>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_Toc29498 </w:instrText>
          </w:r>
          <w:r>
            <w:rPr>
              <w:rFonts w:hint="default" w:ascii="Times New Roman" w:hAnsi="Times New Roman" w:cs="Times New Roman"/>
            </w:rPr>
            <w:fldChar w:fldCharType="separate"/>
          </w:r>
          <w:r>
            <w:rPr>
              <w:rFonts w:hint="default" w:ascii="Times New Roman" w:hAnsi="Times New Roman" w:cs="Times New Roman"/>
              <w:szCs w:val="24"/>
            </w:rPr>
            <w:t>附 录E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_Toc29498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rPr>
            <w:fldChar w:fldCharType="end"/>
          </w:r>
        </w:p>
        <w:p w14:paraId="19FF9E2A">
          <w:pPr>
            <w:rPr>
              <w:rFonts w:hint="default" w:ascii="Times New Roman" w:hAnsi="Times New Roman" w:cs="Times New Roman"/>
            </w:rPr>
          </w:pPr>
          <w:r>
            <w:rPr>
              <w:rFonts w:hint="default" w:ascii="Times New Roman" w:hAnsi="Times New Roman" w:cs="Times New Roman"/>
            </w:rPr>
            <w:fldChar w:fldCharType="end"/>
          </w:r>
        </w:p>
      </w:sdtContent>
    </w:sdt>
    <w:p w14:paraId="56C4CA6B">
      <w:pPr>
        <w:pStyle w:val="145"/>
        <w:spacing w:before="0" w:after="0" w:line="360" w:lineRule="auto"/>
        <w:rPr>
          <w:rFonts w:hint="default" w:ascii="Times New Roman" w:hAnsi="Times New Roman" w:cs="Times New Roman"/>
        </w:rPr>
      </w:pPr>
      <w:bookmarkStart w:id="2" w:name="_Toc15519"/>
      <w:bookmarkStart w:id="3" w:name="_Toc17053"/>
      <w:bookmarkStart w:id="4" w:name="_Toc20381"/>
      <w:bookmarkStart w:id="5" w:name="_Toc31477"/>
      <w:r>
        <w:rPr>
          <w:rFonts w:hint="default" w:ascii="Times New Roman" w:hAnsi="Times New Roman" w:cs="Times New Roman"/>
        </w:rPr>
        <w:t>前</w:t>
      </w:r>
      <w:bookmarkStart w:id="6" w:name="BKQY"/>
      <w:r>
        <w:rPr>
          <w:rFonts w:hint="default" w:ascii="Times New Roman" w:hAnsi="Times New Roman" w:cs="Times New Roman"/>
          <w:lang w:val="en-US" w:eastAsia="zh-CN"/>
        </w:rPr>
        <w:t xml:space="preserve">  </w:t>
      </w:r>
      <w:r>
        <w:rPr>
          <w:rFonts w:hint="default" w:ascii="Times New Roman" w:hAnsi="Times New Roman" w:cs="Times New Roman"/>
        </w:rPr>
        <w:t>言</w:t>
      </w:r>
      <w:bookmarkEnd w:id="1"/>
      <w:bookmarkEnd w:id="2"/>
      <w:bookmarkEnd w:id="3"/>
      <w:bookmarkEnd w:id="4"/>
      <w:bookmarkEnd w:id="5"/>
      <w:bookmarkEnd w:id="6"/>
    </w:p>
    <w:p w14:paraId="1CAAF24D">
      <w:pPr>
        <w:adjustRightInd w:val="0"/>
        <w:snapToGrid w:val="0"/>
        <w:spacing w:line="360" w:lineRule="auto"/>
        <w:ind w:firstLine="480" w:firstLineChars="200"/>
        <w:rPr>
          <w:rFonts w:hint="default" w:ascii="Times New Roman" w:hAnsi="Times New Roman" w:cs="Times New Roman"/>
          <w:sz w:val="24"/>
        </w:rPr>
      </w:pPr>
    </w:p>
    <w:p w14:paraId="29F2BF3A">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本文件按照GB/T 1.1-2020《标准化工作导则第1部分：标准化文件的结构和起草规则》的规</w:t>
      </w:r>
      <w:r>
        <w:rPr>
          <w:rFonts w:hint="default" w:ascii="Times New Roman" w:hAnsi="Times New Roman" w:cs="Times New Roman"/>
          <w:sz w:val="24"/>
          <w:lang w:val="en-US" w:eastAsia="zh-CN"/>
        </w:rPr>
        <w:t>定</w:t>
      </w:r>
      <w:r>
        <w:rPr>
          <w:rFonts w:hint="default" w:ascii="Times New Roman" w:hAnsi="Times New Roman" w:cs="Times New Roman"/>
          <w:sz w:val="24"/>
        </w:rPr>
        <w:t>起草。</w:t>
      </w:r>
    </w:p>
    <w:p w14:paraId="6AAF8306">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请注意本文件的某些内容可能涉及专利。本文件的发布机构不承担识别专利的责任。</w:t>
      </w:r>
    </w:p>
    <w:p w14:paraId="52F6F7AD">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本文件由中国冶金矿山企业协会团体标准化工作委员会提出并归口。</w:t>
      </w:r>
    </w:p>
    <w:p w14:paraId="2EBDD768">
      <w:pPr>
        <w:adjustRightInd w:val="0"/>
        <w:snapToGrid w:val="0"/>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本文件起草单位：</w:t>
      </w:r>
    </w:p>
    <w:p w14:paraId="7867F1C6">
      <w:pPr>
        <w:adjustRightInd w:val="0"/>
        <w:snapToGrid w:val="0"/>
        <w:spacing w:line="360" w:lineRule="auto"/>
        <w:ind w:firstLine="480" w:firstLineChars="200"/>
        <w:rPr>
          <w:rFonts w:hint="default" w:ascii="Times New Roman" w:hAnsi="Times New Roman" w:cs="Times New Roman"/>
          <w:sz w:val="24"/>
          <w:highlight w:val="yellow"/>
        </w:rPr>
      </w:pPr>
      <w:r>
        <w:rPr>
          <w:rFonts w:hint="default" w:ascii="Times New Roman" w:hAnsi="Times New Roman" w:cs="Times New Roman"/>
          <w:sz w:val="24"/>
        </w:rPr>
        <w:t>本文件主要起草人：</w:t>
      </w:r>
    </w:p>
    <w:p w14:paraId="1078EB1E">
      <w:pPr>
        <w:pStyle w:val="24"/>
        <w:rPr>
          <w:rFonts w:hint="default" w:ascii="Times New Roman" w:hAnsi="Times New Roman" w:cs="Times New Roman"/>
        </w:rPr>
      </w:pPr>
    </w:p>
    <w:p w14:paraId="1C65AB7E">
      <w:pPr>
        <w:pStyle w:val="24"/>
        <w:rPr>
          <w:rFonts w:hint="default" w:ascii="Times New Roman" w:hAnsi="Times New Roman" w:cs="Times New Roman"/>
        </w:rPr>
        <w:sectPr>
          <w:footerReference r:id="rId6" w:type="default"/>
          <w:pgSz w:w="11911" w:h="16838"/>
          <w:pgMar w:top="1134" w:right="1417" w:bottom="1134" w:left="1417" w:header="1429" w:footer="0" w:gutter="0"/>
          <w:pgNumType w:fmt="decimal" w:start="1"/>
          <w:cols w:space="0" w:num="1"/>
          <w:formProt w:val="0"/>
          <w:docGrid w:linePitch="312" w:charSpace="0"/>
        </w:sectPr>
      </w:pPr>
    </w:p>
    <w:p w14:paraId="3E070EAF">
      <w:pPr>
        <w:pStyle w:val="98"/>
        <w:spacing w:before="0" w:after="0" w:line="360" w:lineRule="auto"/>
        <w:rPr>
          <w:rFonts w:hint="default" w:ascii="Times New Roman" w:hAnsi="Times New Roman" w:cs="Times New Roman"/>
        </w:rPr>
      </w:pPr>
      <w:bookmarkStart w:id="7" w:name="_Toc31302"/>
      <w:bookmarkStart w:id="8" w:name="_Toc29978"/>
      <w:bookmarkStart w:id="9" w:name="_Toc12018"/>
      <w:bookmarkStart w:id="10" w:name="_Toc19336"/>
      <w:bookmarkStart w:id="11" w:name="_Toc15090"/>
      <w:bookmarkStart w:id="12" w:name="_Toc7741"/>
      <w:bookmarkStart w:id="13" w:name="_Toc14596"/>
      <w:r>
        <w:rPr>
          <w:rFonts w:hint="default" w:ascii="Times New Roman" w:hAnsi="Times New Roman" w:cs="Times New Roman"/>
        </w:rPr>
        <w:t>锰基新能源材料用电解金属锰</w:t>
      </w:r>
      <w:bookmarkEnd w:id="7"/>
      <w:bookmarkEnd w:id="8"/>
      <w:bookmarkEnd w:id="9"/>
      <w:bookmarkEnd w:id="10"/>
      <w:bookmarkEnd w:id="11"/>
      <w:bookmarkEnd w:id="12"/>
      <w:bookmarkEnd w:id="13"/>
    </w:p>
    <w:p w14:paraId="6437DF78">
      <w:pPr>
        <w:pStyle w:val="9"/>
        <w:spacing w:before="0" w:beforeLines="0" w:after="0" w:afterLines="0"/>
        <w:ind w:firstLine="560" w:firstLineChars="200"/>
        <w:outlineLvl w:val="0"/>
        <w:rPr>
          <w:rFonts w:hint="default" w:ascii="Times New Roman" w:hAnsi="Times New Roman" w:cs="Times New Roman"/>
          <w:b w:val="0"/>
          <w:bCs w:val="0"/>
          <w:sz w:val="28"/>
          <w:szCs w:val="28"/>
        </w:rPr>
      </w:pPr>
      <w:bookmarkStart w:id="14" w:name="_Toc15889214"/>
      <w:bookmarkStart w:id="15" w:name="_Toc4342"/>
      <w:bookmarkStart w:id="16" w:name="_Toc15889188"/>
      <w:bookmarkStart w:id="17" w:name="_Toc15889178"/>
      <w:bookmarkStart w:id="18" w:name="_Toc11138"/>
    </w:p>
    <w:p w14:paraId="54B539FD">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19" w:name="_Toc28458"/>
      <w:bookmarkStart w:id="20" w:name="_Toc19621"/>
      <w:r>
        <w:rPr>
          <w:rFonts w:hint="default" w:ascii="Times New Roman" w:hAnsi="Times New Roman" w:cs="Times New Roman"/>
          <w:b w:val="0"/>
          <w:bCs w:val="0"/>
          <w:sz w:val="28"/>
          <w:szCs w:val="28"/>
        </w:rPr>
        <w:t>1 范围</w:t>
      </w:r>
      <w:bookmarkEnd w:id="14"/>
      <w:bookmarkEnd w:id="15"/>
      <w:bookmarkEnd w:id="16"/>
      <w:bookmarkEnd w:id="17"/>
      <w:bookmarkEnd w:id="18"/>
      <w:bookmarkEnd w:id="19"/>
      <w:bookmarkEnd w:id="20"/>
    </w:p>
    <w:p w14:paraId="5D714497">
      <w:pPr>
        <w:pStyle w:val="9"/>
        <w:spacing w:line="360" w:lineRule="auto"/>
        <w:ind w:firstLine="480" w:firstLineChars="200"/>
        <w:rPr>
          <w:rFonts w:hint="default" w:ascii="Times New Roman" w:hAnsi="Times New Roman" w:cs="Times New Roman"/>
          <w:sz w:val="24"/>
          <w:szCs w:val="24"/>
        </w:rPr>
      </w:pPr>
      <w:bookmarkStart w:id="21" w:name="_Toc15889215"/>
      <w:bookmarkStart w:id="22" w:name="_Toc15889179"/>
      <w:bookmarkStart w:id="23" w:name="_Toc15889189"/>
      <w:r>
        <w:rPr>
          <w:rFonts w:hint="default" w:ascii="Times New Roman" w:hAnsi="Times New Roman" w:cs="Times New Roman"/>
          <w:sz w:val="24"/>
          <w:szCs w:val="24"/>
        </w:rPr>
        <w:t>本文件规定了锰基新能源材料用电解金属锰的术语和</w:t>
      </w:r>
      <w:r>
        <w:rPr>
          <w:rFonts w:hint="default" w:ascii="Times New Roman" w:hAnsi="Times New Roman" w:cs="Times New Roman"/>
          <w:sz w:val="24"/>
          <w:szCs w:val="24"/>
          <w:lang w:val="en-US" w:eastAsia="zh-CN"/>
        </w:rPr>
        <w:t>定义、牌号表示方法、</w:t>
      </w:r>
      <w:r>
        <w:rPr>
          <w:rFonts w:hint="default" w:ascii="Times New Roman" w:hAnsi="Times New Roman" w:cs="Times New Roman"/>
          <w:sz w:val="24"/>
          <w:szCs w:val="24"/>
        </w:rPr>
        <w:t>技术要求、试验方法、检验规则、包装、储运、标志和质量证明书。</w:t>
      </w:r>
    </w:p>
    <w:p w14:paraId="066134A0">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本文件适用于高纯硫酸锰、电池用四氧化三锰、三氧化二锰等新能源材料用的电解金属锰。</w:t>
      </w:r>
    </w:p>
    <w:p w14:paraId="13828E58">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24" w:name="_Toc24629"/>
      <w:bookmarkStart w:id="25" w:name="_Toc27481"/>
      <w:bookmarkStart w:id="26" w:name="_Toc22374"/>
      <w:bookmarkStart w:id="27" w:name="_Toc5510"/>
      <w:r>
        <w:rPr>
          <w:rFonts w:hint="default" w:ascii="Times New Roman" w:hAnsi="Times New Roman" w:cs="Times New Roman"/>
          <w:b w:val="0"/>
          <w:bCs w:val="0"/>
          <w:sz w:val="28"/>
          <w:szCs w:val="28"/>
        </w:rPr>
        <w:t>2 规范性引用文件</w:t>
      </w:r>
      <w:bookmarkEnd w:id="21"/>
      <w:bookmarkEnd w:id="22"/>
      <w:bookmarkEnd w:id="23"/>
      <w:bookmarkEnd w:id="24"/>
      <w:bookmarkEnd w:id="25"/>
      <w:bookmarkEnd w:id="26"/>
      <w:bookmarkEnd w:id="27"/>
    </w:p>
    <w:p w14:paraId="043FE647">
      <w:pPr>
        <w:pStyle w:val="24"/>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B7EA3D2">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3650 铁合金验收、包装、储运、标志和质量证明书的一般规定</w:t>
      </w:r>
    </w:p>
    <w:p w14:paraId="634ED91E">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4010 铁合金化学分析用试样的采取和制备</w:t>
      </w:r>
    </w:p>
    <w:p w14:paraId="23868335">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5686.2 锰铁、锰硅合金、氮化锰铁和金属锰 硅含量的测定 钼蓝分光光度法、氟硅酸钾滴定法和高氯酸重量法</w:t>
      </w:r>
    </w:p>
    <w:p w14:paraId="66BF0811">
      <w:pPr>
        <w:widowControl/>
        <w:shd w:val="clear" w:color="auto" w:fill="FFFFFF"/>
        <w:spacing w:line="360" w:lineRule="auto"/>
        <w:ind w:firstLine="708" w:firstLineChars="295"/>
        <w:rPr>
          <w:rFonts w:hint="default" w:ascii="Times New Roman" w:hAnsi="Times New Roman" w:cs="Times New Roman"/>
          <w:sz w:val="24"/>
        </w:rPr>
      </w:pPr>
      <w:r>
        <w:rPr>
          <w:rFonts w:hint="default" w:ascii="Times New Roman" w:hAnsi="Times New Roman" w:cs="Times New Roman"/>
          <w:sz w:val="24"/>
        </w:rPr>
        <w:t>GB/T 5686.4 锰铁、锰硅合金、氮化锰铁和金属锰 磷含量的测定 钼蓝分光光度法和铋磷钼蓝分光光度法</w:t>
      </w:r>
    </w:p>
    <w:p w14:paraId="50E13CCA">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5686.5 锰铁、锰硅合金、氮化锰铁和金属锰 碳含量的测定 红外线吸收法、气体容量法、重量法和库仑法</w:t>
      </w:r>
    </w:p>
    <w:p w14:paraId="1ED99ACC">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5686.7 锰铁、硅锰合金、氮化锰铁和金属锰 硫含量的测定 红外线吸收法和燃烧中和滴定法</w:t>
      </w:r>
    </w:p>
    <w:p w14:paraId="44CBB421">
      <w:pPr>
        <w:pStyle w:val="9"/>
        <w:tabs>
          <w:tab w:val="left" w:pos="2372"/>
        </w:tabs>
        <w:spacing w:line="360" w:lineRule="auto"/>
        <w:ind w:firstLine="708" w:firstLineChars="295"/>
        <w:rPr>
          <w:rFonts w:hint="default" w:ascii="Times New Roman" w:hAnsi="Times New Roman" w:eastAsia="宋体" w:cs="Times New Roman"/>
          <w:sz w:val="24"/>
          <w:szCs w:val="24"/>
          <w:lang w:val="en-US" w:eastAsia="zh-CN"/>
        </w:rPr>
      </w:pPr>
      <w:r>
        <w:rPr>
          <w:rFonts w:hint="default" w:ascii="Times New Roman" w:hAnsi="Times New Roman" w:cs="Times New Roman"/>
          <w:kern w:val="2"/>
          <w:sz w:val="24"/>
          <w:szCs w:val="24"/>
        </w:rPr>
        <w:t>GB/T 6682</w:t>
      </w:r>
      <w:r>
        <w:rPr>
          <w:rFonts w:hint="default" w:ascii="Times New Roman" w:hAnsi="Times New Roman" w:cs="Times New Roman"/>
          <w:kern w:val="2"/>
          <w:sz w:val="24"/>
          <w:szCs w:val="24"/>
          <w:lang w:val="en-US" w:eastAsia="zh-CN"/>
        </w:rPr>
        <w:t xml:space="preserve"> 分析实验室用水规格和试验方法</w:t>
      </w:r>
    </w:p>
    <w:p w14:paraId="22699A57">
      <w:pPr>
        <w:pStyle w:val="9"/>
        <w:tabs>
          <w:tab w:val="left" w:pos="2372"/>
        </w:tabs>
        <w:spacing w:line="360" w:lineRule="auto"/>
        <w:ind w:firstLine="708" w:firstLineChars="295"/>
        <w:rPr>
          <w:rFonts w:hint="default" w:ascii="Times New Roman" w:hAnsi="Times New Roman" w:eastAsia="宋体" w:cs="Times New Roman"/>
          <w:b w:val="0"/>
          <w:bCs w:val="0"/>
          <w:i w:val="0"/>
          <w:iCs w:val="0"/>
          <w:caps w:val="0"/>
          <w:color w:val="auto"/>
          <w:spacing w:val="0"/>
          <w:sz w:val="24"/>
          <w:szCs w:val="24"/>
          <w:shd w:val="clear" w:fill="auto"/>
        </w:rPr>
      </w:pPr>
      <w:r>
        <w:rPr>
          <w:rFonts w:hint="default" w:ascii="Times New Roman" w:hAnsi="Times New Roman" w:cs="Times New Roman"/>
          <w:sz w:val="24"/>
          <w:szCs w:val="24"/>
        </w:rPr>
        <w:t>GB/T 8654.</w:t>
      </w:r>
      <w:r>
        <w:rPr>
          <w:rFonts w:hint="default" w:ascii="Times New Roman" w:hAnsi="Times New Roman" w:cs="Times New Roman"/>
          <w:sz w:val="24"/>
          <w:szCs w:val="24"/>
          <w:lang w:val="en-US" w:eastAsia="zh-CN"/>
        </w:rPr>
        <w:t>1</w:t>
      </w:r>
      <w:r>
        <w:rPr>
          <w:rFonts w:hint="default" w:ascii="Times New Roman" w:hAnsi="Times New Roman" w:eastAsia="宋体" w:cs="Times New Roman"/>
          <w:b w:val="0"/>
          <w:bCs w:val="0"/>
          <w:i w:val="0"/>
          <w:iCs w:val="0"/>
          <w:caps w:val="0"/>
          <w:color w:val="auto"/>
          <w:spacing w:val="0"/>
          <w:sz w:val="24"/>
          <w:szCs w:val="24"/>
          <w:shd w:val="clear" w:fill="auto"/>
        </w:rPr>
        <w:t>金属锰、锰硅合金、锰铁和氮化锰铁 铁含量的测定 邻二氮杂菲分光光度法和三氯化钛 - 重铬酸钾滴定法</w:t>
      </w:r>
    </w:p>
    <w:p w14:paraId="324B590B">
      <w:pPr>
        <w:pStyle w:val="9"/>
        <w:tabs>
          <w:tab w:val="left" w:pos="2372"/>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GB/T 8654.6 金属锰化学分析方法盐酸联氨-碘量法测定硒量</w:t>
      </w:r>
    </w:p>
    <w:p w14:paraId="524A69DA">
      <w:pPr>
        <w:spacing w:line="360" w:lineRule="auto"/>
        <w:ind w:firstLine="708" w:firstLineChars="295"/>
        <w:jc w:val="left"/>
        <w:rPr>
          <w:rFonts w:hint="default" w:ascii="Times New Roman" w:hAnsi="Times New Roman" w:cs="Times New Roman"/>
          <w:sz w:val="24"/>
          <w:highlight w:val="none"/>
        </w:rPr>
      </w:pPr>
      <w:r>
        <w:rPr>
          <w:rFonts w:hint="default" w:ascii="Times New Roman" w:hAnsi="Times New Roman" w:cs="Times New Roman"/>
          <w:sz w:val="24"/>
          <w:highlight w:val="none"/>
        </w:rPr>
        <w:t>SN/T 1427 金属锰中硅、铁、磷含量的测定 电感耦合等离子体原子发射光谱法</w:t>
      </w:r>
    </w:p>
    <w:p w14:paraId="7110E213">
      <w:pPr>
        <w:spacing w:line="360" w:lineRule="auto"/>
        <w:ind w:firstLine="708" w:firstLineChars="295"/>
        <w:jc w:val="left"/>
        <w:rPr>
          <w:rFonts w:hint="default" w:ascii="Times New Roman" w:hAnsi="Times New Roman" w:cs="Times New Roman"/>
          <w:sz w:val="24"/>
        </w:rPr>
      </w:pPr>
      <w:r>
        <w:rPr>
          <w:rFonts w:hint="default" w:ascii="Times New Roman" w:hAnsi="Times New Roman" w:cs="Times New Roman"/>
          <w:sz w:val="24"/>
        </w:rPr>
        <w:t>YB/T 051 电解金属锰</w:t>
      </w:r>
    </w:p>
    <w:p w14:paraId="203CDB49">
      <w:pPr>
        <w:pStyle w:val="9"/>
        <w:tabs>
          <w:tab w:val="left" w:pos="2170"/>
        </w:tabs>
        <w:spacing w:line="360" w:lineRule="auto"/>
        <w:ind w:firstLine="708" w:firstLineChars="295"/>
        <w:rPr>
          <w:rFonts w:hint="default" w:ascii="Times New Roman" w:hAnsi="Times New Roman" w:cs="Times New Roman"/>
          <w:sz w:val="24"/>
          <w:szCs w:val="24"/>
        </w:rPr>
      </w:pPr>
      <w:r>
        <w:rPr>
          <w:rFonts w:hint="default" w:ascii="Times New Roman" w:hAnsi="Times New Roman" w:cs="Times New Roman"/>
          <w:sz w:val="24"/>
          <w:szCs w:val="24"/>
        </w:rPr>
        <w:t>YB/T 4801 锰铁、锰硅合金和金属锰 铅、砷、钛、铜、镍、钙、镁、铝含量的测定 电感耦合等离子体原子发射光谱法</w:t>
      </w:r>
    </w:p>
    <w:p w14:paraId="46F782B0">
      <w:pPr>
        <w:pStyle w:val="9"/>
        <w:tabs>
          <w:tab w:val="left" w:pos="2150"/>
          <w:tab w:val="left" w:pos="6371"/>
        </w:tabs>
        <w:spacing w:line="360" w:lineRule="auto"/>
        <w:ind w:firstLine="708" w:firstLineChars="295"/>
        <w:rPr>
          <w:rFonts w:hint="default" w:ascii="Times New Roman" w:hAnsi="Times New Roman" w:cs="Times New Roman"/>
          <w:sz w:val="24"/>
          <w:szCs w:val="24"/>
        </w:rPr>
      </w:pPr>
    </w:p>
    <w:p w14:paraId="2E1558FD">
      <w:pPr>
        <w:pStyle w:val="9"/>
        <w:tabs>
          <w:tab w:val="left" w:pos="2150"/>
          <w:tab w:val="left" w:pos="6371"/>
        </w:tabs>
        <w:spacing w:line="360" w:lineRule="auto"/>
        <w:ind w:firstLine="708" w:firstLineChars="295"/>
        <w:rPr>
          <w:rFonts w:hint="default" w:ascii="Times New Roman" w:hAnsi="Times New Roman" w:cs="Times New Roman"/>
          <w:sz w:val="24"/>
          <w:szCs w:val="24"/>
        </w:rPr>
      </w:pPr>
    </w:p>
    <w:p w14:paraId="20C73A1D">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28" w:name="_Toc15889190"/>
      <w:bookmarkEnd w:id="28"/>
      <w:bookmarkStart w:id="29" w:name="_Toc15889180"/>
      <w:bookmarkEnd w:id="29"/>
      <w:bookmarkStart w:id="30" w:name="_Toc15889216"/>
      <w:bookmarkEnd w:id="30"/>
      <w:bookmarkStart w:id="31" w:name="_Toc1734"/>
      <w:bookmarkStart w:id="32" w:name="_Toc15027"/>
      <w:bookmarkStart w:id="33" w:name="_Toc5131"/>
      <w:bookmarkStart w:id="34" w:name="_Toc3075"/>
      <w:r>
        <w:rPr>
          <w:rFonts w:hint="default" w:ascii="Times New Roman" w:hAnsi="Times New Roman" w:cs="Times New Roman"/>
          <w:b w:val="0"/>
          <w:bCs w:val="0"/>
          <w:sz w:val="28"/>
          <w:szCs w:val="28"/>
          <w:lang w:eastAsia="zh-CN"/>
        </w:rPr>
        <w:t>3</w:t>
      </w:r>
      <w:r>
        <w:rPr>
          <w:rFonts w:hint="default" w:ascii="Times New Roman" w:hAnsi="Times New Roman" w:cs="Times New Roman"/>
          <w:b w:val="0"/>
          <w:bCs w:val="0"/>
          <w:sz w:val="28"/>
          <w:szCs w:val="28"/>
        </w:rPr>
        <w:t xml:space="preserve"> 术语和定义</w:t>
      </w:r>
      <w:bookmarkEnd w:id="31"/>
      <w:bookmarkEnd w:id="32"/>
    </w:p>
    <w:p w14:paraId="0C225786">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本文件没有需要界定的术语和定义。</w:t>
      </w:r>
    </w:p>
    <w:p w14:paraId="186BA119">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35" w:name="_Toc7215"/>
      <w:bookmarkStart w:id="36" w:name="_Toc5978"/>
      <w:r>
        <w:rPr>
          <w:rFonts w:hint="default" w:ascii="Times New Roman" w:hAnsi="Times New Roman" w:cs="Times New Roman"/>
          <w:b w:val="0"/>
          <w:bCs w:val="0"/>
          <w:sz w:val="28"/>
          <w:szCs w:val="28"/>
          <w:lang w:eastAsia="zh-CN"/>
        </w:rPr>
        <w:t>4</w:t>
      </w:r>
      <w:r>
        <w:rPr>
          <w:rFonts w:hint="default" w:ascii="Times New Roman" w:hAnsi="Times New Roman" w:cs="Times New Roman"/>
          <w:b w:val="0"/>
          <w:bCs w:val="0"/>
          <w:sz w:val="28"/>
          <w:szCs w:val="28"/>
        </w:rPr>
        <w:t xml:space="preserve"> 牌号表示方法</w:t>
      </w:r>
      <w:bookmarkEnd w:id="33"/>
      <w:bookmarkEnd w:id="34"/>
      <w:bookmarkEnd w:id="35"/>
      <w:bookmarkEnd w:id="36"/>
    </w:p>
    <w:p w14:paraId="374904F1">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w:t>
      </w:r>
      <w:r>
        <w:rPr>
          <w:rFonts w:hint="default" w:ascii="Times New Roman" w:hAnsi="Times New Roman" w:cs="Times New Roman"/>
          <w:sz w:val="24"/>
          <w:szCs w:val="24"/>
          <w:lang w:eastAsia="zh-CN"/>
        </w:rPr>
        <w:t>用</w:t>
      </w:r>
      <w:r>
        <w:rPr>
          <w:rFonts w:hint="default" w:ascii="Times New Roman" w:hAnsi="Times New Roman" w:cs="Times New Roman"/>
          <w:sz w:val="24"/>
          <w:szCs w:val="24"/>
        </w:rPr>
        <w:t>DJMn(xcl)</w:t>
      </w:r>
      <w:r>
        <w:rPr>
          <w:rFonts w:hint="default" w:ascii="Times New Roman" w:hAnsi="Times New Roman" w:cs="Times New Roman"/>
          <w:sz w:val="24"/>
          <w:szCs w:val="24"/>
          <w:lang w:eastAsia="zh-CN"/>
        </w:rPr>
        <w:t>表示，按照锰及化学成分不同分为三个牌号：</w:t>
      </w:r>
      <w:r>
        <w:rPr>
          <w:rFonts w:hint="default" w:ascii="Times New Roman" w:hAnsi="Times New Roman" w:cs="Times New Roman"/>
          <w:sz w:val="21"/>
          <w:szCs w:val="21"/>
        </w:rPr>
        <w:t>DJMn(xcl)</w:t>
      </w:r>
      <w:r>
        <w:rPr>
          <w:rFonts w:hint="default" w:ascii="Times New Roman" w:hAnsi="Times New Roman" w:cs="Times New Roman"/>
          <w:sz w:val="21"/>
          <w:szCs w:val="21"/>
          <w:lang w:val="en-US" w:eastAsia="zh-CN"/>
        </w:rPr>
        <w:t>A、</w:t>
      </w:r>
      <w:r>
        <w:rPr>
          <w:rFonts w:hint="default" w:ascii="Times New Roman" w:hAnsi="Times New Roman" w:cs="Times New Roman"/>
          <w:sz w:val="21"/>
          <w:szCs w:val="21"/>
        </w:rPr>
        <w:t>DJMn(xcl)</w:t>
      </w:r>
      <w:r>
        <w:rPr>
          <w:rFonts w:hint="default" w:ascii="Times New Roman" w:hAnsi="Times New Roman" w:cs="Times New Roman"/>
          <w:sz w:val="21"/>
          <w:szCs w:val="21"/>
          <w:lang w:val="en-US" w:eastAsia="zh-CN"/>
        </w:rPr>
        <w:t>B、</w:t>
      </w:r>
      <w:r>
        <w:rPr>
          <w:rFonts w:hint="default" w:ascii="Times New Roman" w:hAnsi="Times New Roman" w:cs="Times New Roman"/>
          <w:sz w:val="21"/>
          <w:szCs w:val="21"/>
        </w:rPr>
        <w:t>DJMn(xcl)</w:t>
      </w:r>
      <w:r>
        <w:rPr>
          <w:rFonts w:hint="default" w:ascii="Times New Roman" w:hAnsi="Times New Roman" w:cs="Times New Roman"/>
          <w:sz w:val="21"/>
          <w:szCs w:val="21"/>
          <w:lang w:val="en-US" w:eastAsia="zh-CN"/>
        </w:rPr>
        <w:t>C</w:t>
      </w:r>
      <w:r>
        <w:rPr>
          <w:rFonts w:hint="default" w:ascii="Times New Roman" w:hAnsi="Times New Roman" w:cs="Times New Roman"/>
          <w:sz w:val="24"/>
          <w:szCs w:val="24"/>
        </w:rPr>
        <w:t>。</w:t>
      </w:r>
    </w:p>
    <w:p w14:paraId="1D090CCC">
      <w:pPr>
        <w:pStyle w:val="9"/>
        <w:keepNext w:val="0"/>
        <w:keepLines w:val="0"/>
        <w:pageBreakBefore w:val="0"/>
        <w:widowControl w:val="0"/>
        <w:kinsoku/>
        <w:wordWrap/>
        <w:overflowPunct/>
        <w:topLinePunct w:val="0"/>
        <w:autoSpaceDE/>
        <w:autoSpaceDN/>
        <w:bidi w:val="0"/>
        <w:adjustRightInd/>
        <w:snapToGrid/>
        <w:spacing w:line="360" w:lineRule="auto"/>
        <w:ind w:firstLine="628" w:firstLineChars="262"/>
        <w:textAlignment w:val="auto"/>
        <w:rPr>
          <w:rFonts w:hint="default" w:ascii="Times New Roman" w:hAnsi="Times New Roman" w:cs="Times New Roman"/>
          <w:sz w:val="24"/>
          <w:szCs w:val="24"/>
        </w:rPr>
      </w:pPr>
      <w:r>
        <w:rPr>
          <w:rFonts w:hint="default" w:ascii="Times New Roman" w:hAnsi="Times New Roman" w:cs="Times New Roman"/>
          <w:sz w:val="24"/>
          <w:szCs w:val="24"/>
        </w:rPr>
        <w:t>DJ——电解金属锰的“电解”二字汉语拼音的首个字母；</w:t>
      </w:r>
    </w:p>
    <w:p w14:paraId="03BF1D7B">
      <w:pPr>
        <w:pStyle w:val="9"/>
        <w:keepNext w:val="0"/>
        <w:keepLines w:val="0"/>
        <w:pageBreakBefore w:val="0"/>
        <w:widowControl w:val="0"/>
        <w:kinsoku/>
        <w:wordWrap/>
        <w:overflowPunct/>
        <w:topLinePunct w:val="0"/>
        <w:autoSpaceDE/>
        <w:autoSpaceDN/>
        <w:bidi w:val="0"/>
        <w:adjustRightInd/>
        <w:snapToGrid/>
        <w:spacing w:line="360" w:lineRule="auto"/>
        <w:ind w:firstLine="628" w:firstLineChars="262"/>
        <w:textAlignment w:val="auto"/>
        <w:rPr>
          <w:rFonts w:hint="default" w:ascii="Times New Roman" w:hAnsi="Times New Roman" w:cs="Times New Roman"/>
          <w:sz w:val="24"/>
          <w:szCs w:val="24"/>
        </w:rPr>
      </w:pPr>
      <w:r>
        <w:rPr>
          <w:rFonts w:hint="default" w:ascii="Times New Roman" w:hAnsi="Times New Roman" w:cs="Times New Roman"/>
          <w:sz w:val="24"/>
          <w:szCs w:val="24"/>
        </w:rPr>
        <w:t>Mn——电解金属锰的主元素；</w:t>
      </w:r>
    </w:p>
    <w:p w14:paraId="070914F5">
      <w:pPr>
        <w:pStyle w:val="9"/>
        <w:keepNext w:val="0"/>
        <w:keepLines w:val="0"/>
        <w:pageBreakBefore w:val="0"/>
        <w:widowControl w:val="0"/>
        <w:kinsoku/>
        <w:wordWrap/>
        <w:overflowPunct/>
        <w:topLinePunct w:val="0"/>
        <w:autoSpaceDE/>
        <w:autoSpaceDN/>
        <w:bidi w:val="0"/>
        <w:adjustRightInd/>
        <w:snapToGrid/>
        <w:spacing w:line="360" w:lineRule="auto"/>
        <w:ind w:firstLine="628" w:firstLineChars="262"/>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rPr>
        <w:t>(xcl)</w:t>
      </w:r>
      <w:bookmarkStart w:id="37" w:name="5_技术要求"/>
      <w:bookmarkEnd w:id="37"/>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新材料</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三字汉语拼音的首个字母</w:t>
      </w:r>
      <w:r>
        <w:rPr>
          <w:rFonts w:hint="default" w:ascii="Times New Roman" w:hAnsi="Times New Roman" w:cs="Times New Roman"/>
          <w:sz w:val="24"/>
          <w:szCs w:val="24"/>
          <w:lang w:eastAsia="zh-CN"/>
        </w:rPr>
        <w:t>；</w:t>
      </w:r>
    </w:p>
    <w:p w14:paraId="18533815">
      <w:pPr>
        <w:pStyle w:val="9"/>
        <w:keepNext w:val="0"/>
        <w:keepLines w:val="0"/>
        <w:pageBreakBefore w:val="0"/>
        <w:widowControl w:val="0"/>
        <w:kinsoku/>
        <w:wordWrap/>
        <w:overflowPunct/>
        <w:topLinePunct w:val="0"/>
        <w:autoSpaceDE/>
        <w:autoSpaceDN/>
        <w:bidi w:val="0"/>
        <w:adjustRightInd/>
        <w:snapToGrid/>
        <w:spacing w:line="360" w:lineRule="auto"/>
        <w:ind w:firstLine="628" w:firstLineChars="262"/>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A、B、C</w:t>
      </w:r>
      <w:r>
        <w:rPr>
          <w:rFonts w:hint="default" w:ascii="Times New Roman" w:hAnsi="Times New Roman" w:cs="Times New Roman"/>
          <w:sz w:val="24"/>
          <w:szCs w:val="24"/>
        </w:rPr>
        <w:t>——</w:t>
      </w:r>
      <w:r>
        <w:rPr>
          <w:rFonts w:hint="default" w:ascii="Times New Roman" w:hAnsi="Times New Roman" w:cs="Times New Roman"/>
          <w:sz w:val="24"/>
          <w:szCs w:val="24"/>
          <w:lang w:eastAsia="zh-CN"/>
        </w:rPr>
        <w:t>牌号等级。</w:t>
      </w:r>
    </w:p>
    <w:p w14:paraId="71D14682">
      <w:pPr>
        <w:pStyle w:val="95"/>
        <w:numPr>
          <w:ilvl w:val="0"/>
          <w:numId w:val="0"/>
        </w:numPr>
        <w:spacing w:before="0" w:beforeLines="0" w:after="0" w:afterLines="0" w:line="360" w:lineRule="auto"/>
        <w:outlineLvl w:val="0"/>
        <w:rPr>
          <w:rFonts w:hint="default" w:ascii="Times New Roman" w:hAnsi="Times New Roman" w:eastAsia="黑体" w:cs="Times New Roman"/>
          <w:b/>
          <w:bCs/>
          <w:sz w:val="28"/>
          <w:szCs w:val="28"/>
          <w:lang w:val="en-US" w:eastAsia="zh-CN"/>
        </w:rPr>
      </w:pPr>
      <w:bookmarkStart w:id="38" w:name="_Toc7690"/>
      <w:r>
        <w:rPr>
          <w:rFonts w:hint="default" w:ascii="Times New Roman" w:hAnsi="Times New Roman" w:cs="Times New Roman"/>
          <w:b w:val="0"/>
          <w:bCs w:val="0"/>
          <w:sz w:val="28"/>
          <w:szCs w:val="28"/>
          <w:lang w:val="en-US" w:eastAsia="zh-CN"/>
        </w:rPr>
        <w:t>5</w:t>
      </w:r>
      <w:r>
        <w:rPr>
          <w:rFonts w:hint="default" w:ascii="Times New Roman" w:hAnsi="Times New Roman" w:cs="Times New Roman"/>
          <w:b w:val="0"/>
          <w:bCs w:val="0"/>
          <w:sz w:val="28"/>
          <w:szCs w:val="28"/>
        </w:rPr>
        <w:t xml:space="preserve"> </w:t>
      </w:r>
      <w:r>
        <w:rPr>
          <w:rFonts w:hint="default" w:ascii="Times New Roman" w:hAnsi="Times New Roman" w:cs="Times New Roman"/>
          <w:b w:val="0"/>
          <w:bCs w:val="0"/>
          <w:sz w:val="28"/>
          <w:szCs w:val="28"/>
          <w:lang w:val="en-US" w:eastAsia="zh-CN"/>
        </w:rPr>
        <w:t>技术要求</w:t>
      </w:r>
      <w:bookmarkEnd w:id="38"/>
    </w:p>
    <w:p w14:paraId="79F027EE">
      <w:pPr>
        <w:pStyle w:val="58"/>
        <w:tabs>
          <w:tab w:val="left" w:pos="744"/>
        </w:tabs>
        <w:spacing w:before="0" w:beforeLines="0" w:after="0" w:afterLines="0"/>
        <w:ind w:left="0" w:firstLine="0"/>
        <w:jc w:val="left"/>
        <w:outlineLvl w:val="1"/>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val="en-US" w:eastAsia="zh-CN"/>
        </w:rPr>
        <w:t>5</w:t>
      </w:r>
      <w:r>
        <w:rPr>
          <w:rFonts w:hint="default" w:ascii="Times New Roman" w:hAnsi="Times New Roman" w:eastAsia="宋体" w:cs="Times New Roman"/>
          <w:b w:val="0"/>
          <w:bCs w:val="0"/>
          <w:sz w:val="24"/>
          <w:szCs w:val="24"/>
        </w:rPr>
        <w:t>.1牌号和化学成分</w:t>
      </w:r>
    </w:p>
    <w:p w14:paraId="23DB7068">
      <w:pPr>
        <w:pStyle w:val="58"/>
        <w:tabs>
          <w:tab w:val="left" w:pos="641"/>
        </w:tabs>
        <w:spacing w:before="0" w:beforeLines="0" w:after="0" w:afterLines="0"/>
        <w:ind w:left="0" w:firstLine="0"/>
        <w:outlineLvl w:val="9"/>
        <w:rPr>
          <w:rFonts w:hint="default" w:ascii="Times New Roman" w:hAnsi="Times New Roman" w:eastAsia="宋体" w:cs="Times New Roman"/>
          <w:b w:val="0"/>
          <w:bCs w:val="0"/>
          <w:sz w:val="24"/>
          <w:szCs w:val="24"/>
        </w:rPr>
      </w:pPr>
    </w:p>
    <w:p w14:paraId="418ED517">
      <w:pPr>
        <w:pStyle w:val="58"/>
        <w:tabs>
          <w:tab w:val="left" w:pos="641"/>
        </w:tabs>
        <w:spacing w:before="0" w:line="360" w:lineRule="auto"/>
        <w:ind w:left="0" w:firstLine="0"/>
        <w:rPr>
          <w:rFonts w:hint="default" w:ascii="Times New Roman" w:hAnsi="Times New Roman" w:cs="Times New Roman"/>
          <w:sz w:val="24"/>
        </w:rPr>
      </w:pPr>
      <w:r>
        <w:rPr>
          <w:rFonts w:hint="default" w:ascii="Times New Roman" w:hAnsi="Times New Roman" w:cs="Times New Roman"/>
          <w:sz w:val="24"/>
          <w:lang w:val="en-US" w:eastAsia="zh-CN"/>
        </w:rPr>
        <w:t>5</w:t>
      </w:r>
      <w:r>
        <w:rPr>
          <w:rFonts w:hint="default" w:ascii="Times New Roman" w:hAnsi="Times New Roman" w:cs="Times New Roman"/>
          <w:sz w:val="24"/>
        </w:rPr>
        <w:t>.1.1锰基新能源材料用电解金属锰按锰的化学成分应符合表1的规定。</w:t>
      </w:r>
    </w:p>
    <w:p w14:paraId="7F1CC5D7">
      <w:pPr>
        <w:pStyle w:val="58"/>
        <w:tabs>
          <w:tab w:val="left" w:pos="641"/>
        </w:tabs>
        <w:spacing w:before="0" w:line="360" w:lineRule="auto"/>
        <w:ind w:left="0" w:firstLine="0"/>
        <w:rPr>
          <w:rFonts w:hint="default" w:ascii="Times New Roman" w:hAnsi="Times New Roman" w:cs="Times New Roman"/>
          <w:sz w:val="24"/>
        </w:rPr>
      </w:pPr>
      <w:r>
        <w:rPr>
          <w:rFonts w:hint="default" w:ascii="Times New Roman" w:hAnsi="Times New Roman" w:cs="Times New Roman"/>
          <w:sz w:val="24"/>
          <w:lang w:val="en-US" w:eastAsia="zh-CN"/>
        </w:rPr>
        <w:t>5</w:t>
      </w:r>
      <w:r>
        <w:rPr>
          <w:rFonts w:hint="default" w:ascii="Times New Roman" w:hAnsi="Times New Roman" w:cs="Times New Roman"/>
          <w:sz w:val="24"/>
        </w:rPr>
        <w:t>.1.2锰基新能源材料用电解金属锰的质量分数计算</w:t>
      </w:r>
    </w:p>
    <w:p w14:paraId="773741DB">
      <w:pPr>
        <w:pStyle w:val="9"/>
        <w:spacing w:line="360" w:lineRule="auto"/>
        <w:ind w:firstLine="628" w:firstLineChars="262"/>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锰基新能源材料用电解金属锰的质量分数ω，数值以%表示，按式（1）计算：</w:t>
      </w:r>
    </w:p>
    <w:p w14:paraId="604BE0DE">
      <w:pPr>
        <w:pStyle w:val="9"/>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ω=100-∑</w:t>
      </w:r>
      <w:r>
        <w:rPr>
          <w:rFonts w:hint="default" w:ascii="Times New Roman" w:hAnsi="Times New Roman" w:cs="Times New Roman"/>
          <w:i/>
          <w:iCs/>
          <w:sz w:val="24"/>
          <w:szCs w:val="24"/>
        </w:rPr>
        <w:t>ω</w:t>
      </w:r>
      <w:r>
        <w:rPr>
          <w:rFonts w:hint="default" w:ascii="Times New Roman" w:hAnsi="Times New Roman" w:cs="Times New Roman"/>
          <w:i/>
          <w:iCs/>
          <w:sz w:val="24"/>
          <w:szCs w:val="24"/>
          <w:vertAlign w:val="subscript"/>
        </w:rPr>
        <w:t>i</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（1）</w:t>
      </w:r>
    </w:p>
    <w:p w14:paraId="67EECB2E">
      <w:pPr>
        <w:pStyle w:val="9"/>
        <w:spacing w:line="360" w:lineRule="auto"/>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式中：</w:t>
      </w:r>
    </w:p>
    <w:p w14:paraId="533D858B">
      <w:pPr>
        <w:pStyle w:val="9"/>
        <w:spacing w:line="360" w:lineRule="auto"/>
        <w:ind w:firstLine="628" w:firstLineChars="262"/>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i/>
          <w:iCs/>
          <w:sz w:val="24"/>
          <w:szCs w:val="24"/>
        </w:rPr>
        <w:t>ω</w:t>
      </w:r>
      <w:r>
        <w:rPr>
          <w:rFonts w:hint="default" w:ascii="Times New Roman" w:hAnsi="Times New Roman" w:cs="Times New Roman"/>
          <w:i/>
          <w:iCs/>
          <w:sz w:val="24"/>
          <w:szCs w:val="24"/>
          <w:vertAlign w:val="subscript"/>
        </w:rPr>
        <w:t>i</w:t>
      </w:r>
      <w:r>
        <w:rPr>
          <w:rFonts w:hint="default" w:ascii="Times New Roman" w:hAnsi="Times New Roman" w:cs="Times New Roman"/>
          <w:sz w:val="24"/>
          <w:szCs w:val="24"/>
        </w:rPr>
        <w:t xml:space="preserve">——电解金属锰中各杂质组分的质量分数之和。   </w:t>
      </w:r>
    </w:p>
    <w:p w14:paraId="4B5A16B9">
      <w:pPr>
        <w:spacing w:line="360" w:lineRule="auto"/>
        <w:ind w:firstLine="628" w:firstLineChars="262"/>
        <w:jc w:val="left"/>
        <w:rPr>
          <w:rFonts w:hint="default" w:ascii="Times New Roman" w:hAnsi="Times New Roman" w:cs="Times New Roman"/>
          <w:sz w:val="24"/>
        </w:rPr>
      </w:pPr>
      <w:r>
        <w:rPr>
          <w:rFonts w:hint="default" w:ascii="Times New Roman" w:hAnsi="Times New Roman" w:cs="Times New Roman"/>
          <w:sz w:val="24"/>
        </w:rPr>
        <w:t>注：杂质组分主要指 C、S、P、Si、Se、Fe、</w:t>
      </w:r>
      <w:r>
        <w:rPr>
          <w:rFonts w:hint="default" w:ascii="Times New Roman" w:hAnsi="Times New Roman" w:cs="Times New Roman"/>
          <w:sz w:val="24"/>
        </w:rPr>
        <w:t>K</w:t>
      </w:r>
      <w:r>
        <w:rPr>
          <w:rFonts w:hint="default" w:ascii="Times New Roman" w:hAnsi="Times New Roman" w:cs="Times New Roman"/>
          <w:sz w:val="24"/>
        </w:rPr>
        <w:t>、</w:t>
      </w:r>
      <w:r>
        <w:rPr>
          <w:rFonts w:hint="default" w:ascii="Times New Roman" w:hAnsi="Times New Roman" w:cs="Times New Roman"/>
          <w:sz w:val="24"/>
        </w:rPr>
        <w:t>Na</w:t>
      </w:r>
      <w:r>
        <w:rPr>
          <w:rFonts w:hint="default" w:ascii="Times New Roman" w:hAnsi="Times New Roman" w:cs="Times New Roman"/>
          <w:sz w:val="24"/>
        </w:rPr>
        <w:t>、</w:t>
      </w:r>
      <w:r>
        <w:rPr>
          <w:rFonts w:hint="default" w:ascii="Times New Roman" w:hAnsi="Times New Roman" w:cs="Times New Roman"/>
          <w:sz w:val="24"/>
        </w:rPr>
        <w:t>Ca</w:t>
      </w:r>
      <w:r>
        <w:rPr>
          <w:rFonts w:hint="default" w:ascii="Times New Roman" w:hAnsi="Times New Roman" w:cs="Times New Roman"/>
          <w:sz w:val="24"/>
        </w:rPr>
        <w:t>、</w:t>
      </w:r>
      <w:r>
        <w:rPr>
          <w:rFonts w:hint="default" w:ascii="Times New Roman" w:hAnsi="Times New Roman" w:cs="Times New Roman"/>
          <w:sz w:val="24"/>
        </w:rPr>
        <w:t>Mg</w:t>
      </w:r>
      <w:r>
        <w:rPr>
          <w:rFonts w:hint="default" w:ascii="Times New Roman" w:hAnsi="Times New Roman" w:cs="Times New Roman"/>
          <w:sz w:val="24"/>
        </w:rPr>
        <w:t>、</w:t>
      </w:r>
      <w:r>
        <w:rPr>
          <w:rFonts w:hint="default" w:ascii="Times New Roman" w:hAnsi="Times New Roman" w:cs="Times New Roman"/>
          <w:sz w:val="24"/>
        </w:rPr>
        <w:t>Zn</w:t>
      </w:r>
      <w:r>
        <w:rPr>
          <w:rFonts w:hint="default" w:ascii="Times New Roman" w:hAnsi="Times New Roman" w:cs="Times New Roman"/>
          <w:sz w:val="24"/>
        </w:rPr>
        <w:t>、</w:t>
      </w:r>
      <w:r>
        <w:rPr>
          <w:rFonts w:hint="default" w:ascii="Times New Roman" w:hAnsi="Times New Roman" w:cs="Times New Roman"/>
          <w:sz w:val="24"/>
        </w:rPr>
        <w:t>Co</w:t>
      </w:r>
      <w:r>
        <w:rPr>
          <w:rFonts w:hint="default" w:ascii="Times New Roman" w:hAnsi="Times New Roman" w:cs="Times New Roman"/>
          <w:sz w:val="24"/>
        </w:rPr>
        <w:t>、</w:t>
      </w:r>
      <w:r>
        <w:rPr>
          <w:rFonts w:hint="default" w:ascii="Times New Roman" w:hAnsi="Times New Roman" w:cs="Times New Roman"/>
          <w:sz w:val="24"/>
        </w:rPr>
        <w:t>Ni</w:t>
      </w:r>
      <w:r>
        <w:rPr>
          <w:rFonts w:hint="default" w:ascii="Times New Roman" w:hAnsi="Times New Roman" w:cs="Times New Roman"/>
          <w:sz w:val="24"/>
        </w:rPr>
        <w:t>、</w:t>
      </w:r>
      <w:r>
        <w:rPr>
          <w:rFonts w:hint="default" w:ascii="Times New Roman" w:hAnsi="Times New Roman" w:cs="Times New Roman"/>
          <w:sz w:val="24"/>
        </w:rPr>
        <w:t>C</w:t>
      </w:r>
      <w:r>
        <w:rPr>
          <w:rFonts w:hint="default" w:ascii="Times New Roman" w:hAnsi="Times New Roman" w:cs="Times New Roman"/>
          <w:sz w:val="24"/>
        </w:rPr>
        <w:t>u、</w:t>
      </w:r>
      <w:r>
        <w:rPr>
          <w:rFonts w:hint="default" w:ascii="Times New Roman" w:hAnsi="Times New Roman" w:cs="Times New Roman"/>
          <w:sz w:val="24"/>
        </w:rPr>
        <w:t>Cd</w:t>
      </w:r>
      <w:r>
        <w:rPr>
          <w:rFonts w:hint="default" w:ascii="Times New Roman" w:hAnsi="Times New Roman" w:cs="Times New Roman"/>
          <w:sz w:val="24"/>
        </w:rPr>
        <w:t>、P</w:t>
      </w:r>
      <w:r>
        <w:rPr>
          <w:rFonts w:hint="default" w:ascii="Times New Roman" w:hAnsi="Times New Roman" w:cs="Times New Roman"/>
          <w:sz w:val="24"/>
        </w:rPr>
        <w:t>b</w:t>
      </w:r>
      <w:r>
        <w:rPr>
          <w:rFonts w:hint="default" w:ascii="Times New Roman" w:hAnsi="Times New Roman" w:cs="Times New Roman"/>
          <w:sz w:val="24"/>
        </w:rPr>
        <w:t>、</w:t>
      </w:r>
      <w:r>
        <w:rPr>
          <w:rFonts w:hint="default" w:ascii="Times New Roman" w:hAnsi="Times New Roman" w:cs="Times New Roman"/>
          <w:sz w:val="24"/>
        </w:rPr>
        <w:t>Cr</w:t>
      </w:r>
      <w:r>
        <w:rPr>
          <w:rFonts w:hint="default" w:ascii="Times New Roman" w:hAnsi="Times New Roman" w:cs="Times New Roman"/>
          <w:sz w:val="24"/>
        </w:rPr>
        <w:t>、</w:t>
      </w:r>
      <w:r>
        <w:rPr>
          <w:rFonts w:hint="default" w:ascii="Times New Roman" w:hAnsi="Times New Roman" w:cs="Times New Roman"/>
          <w:sz w:val="24"/>
        </w:rPr>
        <w:t>Al</w:t>
      </w:r>
      <w:r>
        <w:rPr>
          <w:rFonts w:hint="default" w:ascii="Times New Roman" w:hAnsi="Times New Roman" w:cs="Times New Roman"/>
          <w:sz w:val="24"/>
        </w:rPr>
        <w:t>、</w:t>
      </w:r>
      <w:r>
        <w:rPr>
          <w:rFonts w:hint="default" w:ascii="Times New Roman" w:hAnsi="Times New Roman" w:cs="Times New Roman"/>
          <w:sz w:val="24"/>
        </w:rPr>
        <w:t>Ti</w:t>
      </w:r>
      <w:r>
        <w:rPr>
          <w:rFonts w:hint="default" w:ascii="Times New Roman" w:hAnsi="Times New Roman" w:cs="Times New Roman"/>
          <w:sz w:val="24"/>
        </w:rPr>
        <w:t>等。</w:t>
      </w:r>
    </w:p>
    <w:p w14:paraId="1FE8D5A8">
      <w:pPr>
        <w:pStyle w:val="9"/>
        <w:spacing w:line="360" w:lineRule="auto"/>
        <w:ind w:firstLine="628" w:firstLineChars="262"/>
        <w:rPr>
          <w:rFonts w:hint="default" w:ascii="Times New Roman" w:hAnsi="Times New Roman" w:cs="Times New Roman"/>
          <w:sz w:val="24"/>
          <w:szCs w:val="24"/>
        </w:rPr>
      </w:pPr>
      <w:r>
        <w:rPr>
          <w:rFonts w:hint="default" w:ascii="Times New Roman" w:hAnsi="Times New Roman" w:cs="Times New Roman"/>
          <w:sz w:val="24"/>
          <w:szCs w:val="24"/>
        </w:rPr>
        <w:t>计算结果保留至小数点后两位。</w:t>
      </w:r>
    </w:p>
    <w:p w14:paraId="3828AC77">
      <w:pPr>
        <w:pStyle w:val="58"/>
        <w:tabs>
          <w:tab w:val="left" w:pos="744"/>
        </w:tabs>
        <w:spacing w:before="0" w:line="360" w:lineRule="auto"/>
        <w:ind w:left="0" w:firstLine="0"/>
        <w:rPr>
          <w:rFonts w:hint="default" w:ascii="Times New Roman" w:hAnsi="Times New Roman" w:cs="Times New Roman"/>
          <w:sz w:val="24"/>
        </w:rPr>
        <w:sectPr>
          <w:footerReference r:id="rId7" w:type="default"/>
          <w:pgSz w:w="11911" w:h="16838"/>
          <w:pgMar w:top="1985" w:right="1417" w:bottom="1134" w:left="1417" w:header="1134" w:footer="1247" w:gutter="0"/>
          <w:pgNumType w:fmt="decimal" w:start="1"/>
          <w:cols w:space="0" w:num="1"/>
        </w:sectPr>
      </w:pPr>
      <w:r>
        <w:rPr>
          <w:rFonts w:hint="default" w:ascii="Times New Roman" w:hAnsi="Times New Roman" w:cs="Times New Roman"/>
          <w:sz w:val="24"/>
          <w:lang w:val="en-US" w:eastAsia="zh-CN"/>
        </w:rPr>
        <w:t>5</w:t>
      </w:r>
      <w:r>
        <w:rPr>
          <w:rFonts w:hint="default" w:ascii="Times New Roman" w:hAnsi="Times New Roman" w:cs="Times New Roman"/>
          <w:sz w:val="24"/>
        </w:rPr>
        <w:t>.1.3需方对表1化学成分</w:t>
      </w:r>
      <w:r>
        <w:rPr>
          <w:rFonts w:hint="default" w:ascii="Times New Roman" w:hAnsi="Times New Roman" w:cs="Times New Roman"/>
          <w:sz w:val="24"/>
          <w:lang w:eastAsia="zh-CN"/>
        </w:rPr>
        <w:t>或表中未列成分</w:t>
      </w:r>
      <w:r>
        <w:rPr>
          <w:rFonts w:hint="default" w:ascii="Times New Roman" w:hAnsi="Times New Roman" w:cs="Times New Roman"/>
          <w:sz w:val="24"/>
        </w:rPr>
        <w:t>有特殊要求时，由供需双方另行协商。</w:t>
      </w:r>
    </w:p>
    <w:p w14:paraId="08F3F105">
      <w:pPr>
        <w:pStyle w:val="58"/>
        <w:tabs>
          <w:tab w:val="left" w:pos="744"/>
        </w:tabs>
        <w:spacing w:before="0" w:line="360" w:lineRule="auto"/>
        <w:ind w:left="0" w:firstLine="0"/>
        <w:rPr>
          <w:rFonts w:hint="default" w:ascii="Times New Roman" w:hAnsi="Times New Roman" w:cs="Times New Roman"/>
          <w:sz w:val="24"/>
        </w:rPr>
      </w:pPr>
    </w:p>
    <w:p w14:paraId="332EC6D3">
      <w:pPr>
        <w:pStyle w:val="9"/>
        <w:tabs>
          <w:tab w:val="left" w:pos="525"/>
        </w:tabs>
        <w:jc w:val="center"/>
        <w:rPr>
          <w:rFonts w:hint="default" w:ascii="Times New Roman" w:hAnsi="Times New Roman" w:cs="Times New Roman"/>
          <w:sz w:val="24"/>
          <w:szCs w:val="24"/>
        </w:rPr>
      </w:pPr>
      <w:r>
        <w:rPr>
          <w:rFonts w:hint="default" w:ascii="Times New Roman" w:hAnsi="Times New Roman" w:cs="Times New Roman"/>
          <w:sz w:val="24"/>
          <w:szCs w:val="24"/>
        </w:rPr>
        <w:t>表1</w:t>
      </w:r>
      <w:r>
        <w:rPr>
          <w:rFonts w:hint="default" w:ascii="Times New Roman" w:hAnsi="Times New Roman" w:cs="Times New Roman"/>
          <w:sz w:val="24"/>
          <w:szCs w:val="24"/>
        </w:rPr>
        <w:tab/>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化学成分</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705"/>
        <w:gridCol w:w="666"/>
        <w:gridCol w:w="666"/>
        <w:gridCol w:w="766"/>
        <w:gridCol w:w="708"/>
        <w:gridCol w:w="708"/>
        <w:gridCol w:w="708"/>
        <w:gridCol w:w="666"/>
        <w:gridCol w:w="709"/>
        <w:gridCol w:w="709"/>
        <w:gridCol w:w="709"/>
        <w:gridCol w:w="766"/>
        <w:gridCol w:w="766"/>
        <w:gridCol w:w="766"/>
        <w:gridCol w:w="766"/>
        <w:gridCol w:w="766"/>
        <w:gridCol w:w="709"/>
        <w:gridCol w:w="766"/>
        <w:gridCol w:w="766"/>
        <w:gridCol w:w="766"/>
      </w:tblGrid>
      <w:tr w14:paraId="7B2CE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444" w:type="pct"/>
            <w:vMerge w:val="restart"/>
            <w:vAlign w:val="center"/>
          </w:tcPr>
          <w:p w14:paraId="0E1777B9">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牌号</w:t>
            </w:r>
          </w:p>
        </w:tc>
        <w:tc>
          <w:tcPr>
            <w:tcW w:w="4555" w:type="pct"/>
            <w:gridSpan w:val="20"/>
            <w:vAlign w:val="center"/>
          </w:tcPr>
          <w:p w14:paraId="6FDA536D">
            <w:pPr>
              <w:pStyle w:val="9"/>
              <w:tabs>
                <w:tab w:val="left" w:pos="525"/>
              </w:tabs>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化学成分（质量分数）/%</w:t>
            </w:r>
          </w:p>
        </w:tc>
      </w:tr>
      <w:tr w14:paraId="2F24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44" w:type="pct"/>
            <w:vMerge w:val="continue"/>
            <w:vAlign w:val="center"/>
          </w:tcPr>
          <w:p w14:paraId="7DBDCA26">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p>
        </w:tc>
        <w:tc>
          <w:tcPr>
            <w:tcW w:w="239" w:type="pct"/>
            <w:vAlign w:val="center"/>
          </w:tcPr>
          <w:p w14:paraId="51A2DB78">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Mn</w:t>
            </w:r>
          </w:p>
        </w:tc>
        <w:tc>
          <w:tcPr>
            <w:tcW w:w="175" w:type="pct"/>
            <w:vAlign w:val="center"/>
          </w:tcPr>
          <w:p w14:paraId="60EF6ACE">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w:t>
            </w:r>
          </w:p>
        </w:tc>
        <w:tc>
          <w:tcPr>
            <w:tcW w:w="175" w:type="pct"/>
            <w:vAlign w:val="center"/>
          </w:tcPr>
          <w:p w14:paraId="591C6001">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S</w:t>
            </w:r>
          </w:p>
        </w:tc>
        <w:tc>
          <w:tcPr>
            <w:tcW w:w="176" w:type="pct"/>
            <w:vAlign w:val="center"/>
          </w:tcPr>
          <w:p w14:paraId="504C46C5">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P</w:t>
            </w:r>
          </w:p>
        </w:tc>
        <w:tc>
          <w:tcPr>
            <w:tcW w:w="240" w:type="pct"/>
            <w:vAlign w:val="center"/>
          </w:tcPr>
          <w:p w14:paraId="0F196B1F">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Si</w:t>
            </w:r>
          </w:p>
        </w:tc>
        <w:tc>
          <w:tcPr>
            <w:tcW w:w="240" w:type="pct"/>
            <w:vAlign w:val="center"/>
          </w:tcPr>
          <w:p w14:paraId="61267505">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Se</w:t>
            </w:r>
          </w:p>
        </w:tc>
        <w:tc>
          <w:tcPr>
            <w:tcW w:w="240" w:type="pct"/>
            <w:vAlign w:val="center"/>
          </w:tcPr>
          <w:p w14:paraId="1AD97E56">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Fe</w:t>
            </w:r>
          </w:p>
        </w:tc>
        <w:tc>
          <w:tcPr>
            <w:tcW w:w="176" w:type="pct"/>
            <w:vAlign w:val="center"/>
          </w:tcPr>
          <w:p w14:paraId="612069BC">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K</w:t>
            </w:r>
          </w:p>
        </w:tc>
        <w:tc>
          <w:tcPr>
            <w:tcW w:w="240" w:type="pct"/>
            <w:vAlign w:val="center"/>
          </w:tcPr>
          <w:p w14:paraId="5ADB67A3">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Na</w:t>
            </w:r>
          </w:p>
        </w:tc>
        <w:tc>
          <w:tcPr>
            <w:tcW w:w="240" w:type="pct"/>
            <w:vAlign w:val="center"/>
          </w:tcPr>
          <w:p w14:paraId="08267ECE">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Ca</w:t>
            </w:r>
          </w:p>
        </w:tc>
        <w:tc>
          <w:tcPr>
            <w:tcW w:w="240" w:type="pct"/>
            <w:vAlign w:val="center"/>
          </w:tcPr>
          <w:p w14:paraId="21B08567">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Mg</w:t>
            </w:r>
          </w:p>
        </w:tc>
        <w:tc>
          <w:tcPr>
            <w:tcW w:w="240" w:type="pct"/>
            <w:vAlign w:val="center"/>
          </w:tcPr>
          <w:p w14:paraId="08284471">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Zn</w:t>
            </w:r>
          </w:p>
        </w:tc>
        <w:tc>
          <w:tcPr>
            <w:tcW w:w="240" w:type="pct"/>
            <w:vAlign w:val="center"/>
          </w:tcPr>
          <w:p w14:paraId="4776A603">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Co</w:t>
            </w:r>
          </w:p>
        </w:tc>
        <w:tc>
          <w:tcPr>
            <w:tcW w:w="240" w:type="pct"/>
            <w:vAlign w:val="center"/>
          </w:tcPr>
          <w:p w14:paraId="73D34198">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Ni</w:t>
            </w:r>
          </w:p>
        </w:tc>
        <w:tc>
          <w:tcPr>
            <w:tcW w:w="240" w:type="pct"/>
            <w:vAlign w:val="center"/>
          </w:tcPr>
          <w:p w14:paraId="38413C28">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Cu</w:t>
            </w:r>
          </w:p>
        </w:tc>
        <w:tc>
          <w:tcPr>
            <w:tcW w:w="240" w:type="pct"/>
            <w:vAlign w:val="center"/>
          </w:tcPr>
          <w:p w14:paraId="0F48561E">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Cd</w:t>
            </w:r>
          </w:p>
        </w:tc>
        <w:tc>
          <w:tcPr>
            <w:tcW w:w="240" w:type="pct"/>
            <w:vAlign w:val="center"/>
          </w:tcPr>
          <w:p w14:paraId="3CC0C44C">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Pb</w:t>
            </w:r>
          </w:p>
        </w:tc>
        <w:tc>
          <w:tcPr>
            <w:tcW w:w="240" w:type="pct"/>
            <w:vAlign w:val="center"/>
          </w:tcPr>
          <w:p w14:paraId="401AF912">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Cr</w:t>
            </w:r>
          </w:p>
        </w:tc>
        <w:tc>
          <w:tcPr>
            <w:tcW w:w="240" w:type="pct"/>
            <w:vAlign w:val="center"/>
          </w:tcPr>
          <w:p w14:paraId="1C170C52">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Al</w:t>
            </w:r>
          </w:p>
        </w:tc>
        <w:tc>
          <w:tcPr>
            <w:tcW w:w="250" w:type="pct"/>
            <w:vAlign w:val="center"/>
          </w:tcPr>
          <w:p w14:paraId="47F04177">
            <w:pPr>
              <w:pStyle w:val="9"/>
              <w:tabs>
                <w:tab w:val="left" w:pos="525"/>
              </w:tabs>
              <w:jc w:val="center"/>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val="en-US" w:eastAsia="zh-CN"/>
              </w:rPr>
              <w:t>Ti</w:t>
            </w:r>
          </w:p>
        </w:tc>
      </w:tr>
      <w:tr w14:paraId="47EE6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444" w:type="pct"/>
            <w:vAlign w:val="center"/>
          </w:tcPr>
          <w:p w14:paraId="12233910">
            <w:pPr>
              <w:pStyle w:val="9"/>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DJMn</w:t>
            </w:r>
          </w:p>
          <w:p w14:paraId="68463A36">
            <w:pPr>
              <w:pStyle w:val="9"/>
              <w:tabs>
                <w:tab w:val="left" w:pos="525"/>
              </w:tabs>
              <w:jc w:val="center"/>
              <w:rPr>
                <w:rFonts w:hint="default" w:ascii="Times New Roman" w:hAnsi="Times New Roman" w:cs="Times New Roman"/>
                <w:sz w:val="20"/>
                <w:szCs w:val="20"/>
                <w:highlight w:val="none"/>
                <w:vertAlign w:val="baseline"/>
              </w:rPr>
            </w:pPr>
            <w:r>
              <w:rPr>
                <w:rFonts w:hint="default" w:ascii="Times New Roman" w:hAnsi="Times New Roman" w:cs="Times New Roman"/>
                <w:sz w:val="20"/>
                <w:szCs w:val="20"/>
                <w:highlight w:val="none"/>
              </w:rPr>
              <w:t>(xcl)</w:t>
            </w:r>
            <w:r>
              <w:rPr>
                <w:rFonts w:hint="default" w:ascii="Times New Roman" w:hAnsi="Times New Roman" w:cs="Times New Roman"/>
                <w:sz w:val="20"/>
                <w:szCs w:val="20"/>
                <w:highlight w:val="none"/>
                <w:lang w:val="en-US" w:eastAsia="zh-CN"/>
              </w:rPr>
              <w:t>A</w:t>
            </w:r>
          </w:p>
        </w:tc>
        <w:tc>
          <w:tcPr>
            <w:tcW w:w="239" w:type="pct"/>
            <w:vAlign w:val="center"/>
          </w:tcPr>
          <w:p w14:paraId="3FDA6B5C">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99.8</w:t>
            </w:r>
          </w:p>
        </w:tc>
        <w:tc>
          <w:tcPr>
            <w:tcW w:w="175" w:type="pct"/>
            <w:vAlign w:val="center"/>
          </w:tcPr>
          <w:p w14:paraId="1A9B9611">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0.020</w:t>
            </w:r>
          </w:p>
        </w:tc>
        <w:tc>
          <w:tcPr>
            <w:tcW w:w="175" w:type="pct"/>
            <w:vAlign w:val="center"/>
          </w:tcPr>
          <w:p w14:paraId="7E95E86D">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0.030</w:t>
            </w:r>
          </w:p>
        </w:tc>
        <w:tc>
          <w:tcPr>
            <w:tcW w:w="176" w:type="pct"/>
            <w:vAlign w:val="center"/>
          </w:tcPr>
          <w:p w14:paraId="5E198A51">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240" w:type="pct"/>
            <w:vAlign w:val="center"/>
          </w:tcPr>
          <w:p w14:paraId="43C1E7F8">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0.004</w:t>
            </w:r>
          </w:p>
        </w:tc>
        <w:tc>
          <w:tcPr>
            <w:tcW w:w="240" w:type="pct"/>
            <w:vAlign w:val="center"/>
          </w:tcPr>
          <w:p w14:paraId="719B647D">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0.04</w:t>
            </w:r>
          </w:p>
        </w:tc>
        <w:tc>
          <w:tcPr>
            <w:tcW w:w="240" w:type="pct"/>
            <w:vAlign w:val="center"/>
          </w:tcPr>
          <w:p w14:paraId="3A8789E0">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176" w:type="pct"/>
            <w:vAlign w:val="center"/>
          </w:tcPr>
          <w:p w14:paraId="194B39BE">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240" w:type="pct"/>
            <w:vAlign w:val="center"/>
          </w:tcPr>
          <w:p w14:paraId="5AC74FEF">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0.005</w:t>
            </w:r>
          </w:p>
        </w:tc>
        <w:tc>
          <w:tcPr>
            <w:tcW w:w="240" w:type="pct"/>
            <w:vAlign w:val="center"/>
          </w:tcPr>
          <w:p w14:paraId="4F9FE013">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240" w:type="pct"/>
            <w:vAlign w:val="center"/>
          </w:tcPr>
          <w:p w14:paraId="77B30D9F">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0.015</w:t>
            </w:r>
          </w:p>
        </w:tc>
        <w:tc>
          <w:tcPr>
            <w:tcW w:w="240" w:type="pct"/>
            <w:vAlign w:val="center"/>
          </w:tcPr>
          <w:p w14:paraId="6691E6A3">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0.003</w:t>
            </w:r>
          </w:p>
        </w:tc>
        <w:tc>
          <w:tcPr>
            <w:tcW w:w="240" w:type="pct"/>
            <w:vAlign w:val="center"/>
          </w:tcPr>
          <w:p w14:paraId="19DA8D8B">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240" w:type="pct"/>
            <w:vAlign w:val="center"/>
          </w:tcPr>
          <w:p w14:paraId="43C3DCA5">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240" w:type="pct"/>
            <w:vAlign w:val="center"/>
          </w:tcPr>
          <w:p w14:paraId="78891B5A">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0.0002</w:t>
            </w:r>
          </w:p>
        </w:tc>
        <w:tc>
          <w:tcPr>
            <w:tcW w:w="240" w:type="pct"/>
            <w:vAlign w:val="center"/>
          </w:tcPr>
          <w:p w14:paraId="10C53CA7">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0.0002</w:t>
            </w:r>
          </w:p>
        </w:tc>
        <w:tc>
          <w:tcPr>
            <w:tcW w:w="240" w:type="pct"/>
            <w:vAlign w:val="center"/>
          </w:tcPr>
          <w:p w14:paraId="727B5014">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240" w:type="pct"/>
            <w:vAlign w:val="center"/>
          </w:tcPr>
          <w:p w14:paraId="5A231130">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240" w:type="pct"/>
            <w:vAlign w:val="center"/>
          </w:tcPr>
          <w:p w14:paraId="21005D54">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0.0002</w:t>
            </w:r>
          </w:p>
        </w:tc>
        <w:tc>
          <w:tcPr>
            <w:tcW w:w="250" w:type="pct"/>
            <w:vAlign w:val="center"/>
          </w:tcPr>
          <w:p w14:paraId="5D0669E9">
            <w:pPr>
              <w:pStyle w:val="9"/>
              <w:tabs>
                <w:tab w:val="left" w:pos="525"/>
              </w:tabs>
              <w:jc w:val="center"/>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r>
      <w:tr w14:paraId="21F8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444" w:type="pct"/>
            <w:vAlign w:val="center"/>
          </w:tcPr>
          <w:p w14:paraId="549A2D0F">
            <w:pPr>
              <w:pStyle w:val="9"/>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DJMn</w:t>
            </w:r>
          </w:p>
          <w:p w14:paraId="12D73A78">
            <w:pPr>
              <w:pStyle w:val="9"/>
              <w:tabs>
                <w:tab w:val="left" w:pos="525"/>
              </w:tabs>
              <w:jc w:val="center"/>
              <w:rPr>
                <w:rFonts w:hint="default" w:ascii="Times New Roman" w:hAnsi="Times New Roman" w:eastAsia="宋体" w:cs="Times New Roman"/>
                <w:b w:val="0"/>
                <w:bCs w:val="0"/>
                <w:kern w:val="2"/>
                <w:sz w:val="22"/>
                <w:szCs w:val="22"/>
                <w:highlight w:val="none"/>
                <w:vertAlign w:val="baseline"/>
                <w:lang w:val="en-US" w:eastAsia="zh-CN" w:bidi="ar-SA"/>
              </w:rPr>
            </w:pPr>
            <w:r>
              <w:rPr>
                <w:rFonts w:hint="default" w:ascii="Times New Roman" w:hAnsi="Times New Roman" w:cs="Times New Roman"/>
                <w:sz w:val="20"/>
                <w:szCs w:val="20"/>
                <w:highlight w:val="none"/>
              </w:rPr>
              <w:t>(xcl)</w:t>
            </w:r>
            <w:r>
              <w:rPr>
                <w:rFonts w:hint="default" w:ascii="Times New Roman" w:hAnsi="Times New Roman" w:cs="Times New Roman"/>
                <w:sz w:val="20"/>
                <w:szCs w:val="20"/>
                <w:highlight w:val="none"/>
                <w:lang w:val="en-US" w:eastAsia="zh-CN"/>
              </w:rPr>
              <w:t>B</w:t>
            </w:r>
          </w:p>
        </w:tc>
        <w:tc>
          <w:tcPr>
            <w:tcW w:w="636" w:type="dxa"/>
            <w:vAlign w:val="center"/>
          </w:tcPr>
          <w:p w14:paraId="5815E585">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99.8</w:t>
            </w:r>
          </w:p>
        </w:tc>
        <w:tc>
          <w:tcPr>
            <w:tcW w:w="741" w:type="dxa"/>
            <w:vAlign w:val="center"/>
          </w:tcPr>
          <w:p w14:paraId="755941D6">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0.020</w:t>
            </w:r>
          </w:p>
        </w:tc>
        <w:tc>
          <w:tcPr>
            <w:tcW w:w="741" w:type="dxa"/>
            <w:vAlign w:val="center"/>
          </w:tcPr>
          <w:p w14:paraId="39CAC0FD">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0.035</w:t>
            </w:r>
          </w:p>
        </w:tc>
        <w:tc>
          <w:tcPr>
            <w:tcW w:w="741" w:type="dxa"/>
            <w:vAlign w:val="center"/>
          </w:tcPr>
          <w:p w14:paraId="59791885">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0.0012</w:t>
            </w:r>
          </w:p>
        </w:tc>
        <w:tc>
          <w:tcPr>
            <w:tcW w:w="741" w:type="dxa"/>
            <w:vAlign w:val="center"/>
          </w:tcPr>
          <w:p w14:paraId="3D7C1604">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w:t>
            </w:r>
          </w:p>
        </w:tc>
        <w:tc>
          <w:tcPr>
            <w:tcW w:w="636" w:type="dxa"/>
            <w:vAlign w:val="center"/>
          </w:tcPr>
          <w:p w14:paraId="5C1226BA">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0.04</w:t>
            </w:r>
          </w:p>
        </w:tc>
        <w:tc>
          <w:tcPr>
            <w:tcW w:w="741" w:type="dxa"/>
            <w:vAlign w:val="center"/>
          </w:tcPr>
          <w:p w14:paraId="604EE7FB">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741" w:type="dxa"/>
            <w:vAlign w:val="center"/>
          </w:tcPr>
          <w:p w14:paraId="22AA5B2E">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0.003</w:t>
            </w:r>
          </w:p>
        </w:tc>
        <w:tc>
          <w:tcPr>
            <w:tcW w:w="741" w:type="dxa"/>
            <w:vAlign w:val="center"/>
          </w:tcPr>
          <w:p w14:paraId="6436D81F">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0.008</w:t>
            </w:r>
          </w:p>
        </w:tc>
        <w:tc>
          <w:tcPr>
            <w:tcW w:w="741" w:type="dxa"/>
            <w:vAlign w:val="center"/>
          </w:tcPr>
          <w:p w14:paraId="093301E6">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0.004</w:t>
            </w:r>
          </w:p>
        </w:tc>
        <w:tc>
          <w:tcPr>
            <w:tcW w:w="741" w:type="dxa"/>
            <w:vAlign w:val="center"/>
          </w:tcPr>
          <w:p w14:paraId="36A89FD7">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0.015</w:t>
            </w:r>
          </w:p>
        </w:tc>
        <w:tc>
          <w:tcPr>
            <w:tcW w:w="741" w:type="dxa"/>
            <w:vAlign w:val="center"/>
          </w:tcPr>
          <w:p w14:paraId="7C6E6F4C">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0.0035</w:t>
            </w:r>
          </w:p>
        </w:tc>
        <w:tc>
          <w:tcPr>
            <w:tcW w:w="741" w:type="dxa"/>
            <w:vAlign w:val="center"/>
          </w:tcPr>
          <w:p w14:paraId="4E635DF4">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741" w:type="dxa"/>
            <w:vAlign w:val="center"/>
          </w:tcPr>
          <w:p w14:paraId="7A89BDAB">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846" w:type="dxa"/>
            <w:vAlign w:val="center"/>
          </w:tcPr>
          <w:p w14:paraId="6FF19114">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0.0015</w:t>
            </w:r>
          </w:p>
        </w:tc>
        <w:tc>
          <w:tcPr>
            <w:tcW w:w="846" w:type="dxa"/>
            <w:vAlign w:val="center"/>
          </w:tcPr>
          <w:p w14:paraId="784138AA">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636" w:type="dxa"/>
            <w:vAlign w:val="center"/>
          </w:tcPr>
          <w:p w14:paraId="003FFF5E">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0.005</w:t>
            </w:r>
          </w:p>
        </w:tc>
        <w:tc>
          <w:tcPr>
            <w:tcW w:w="847" w:type="dxa"/>
            <w:vAlign w:val="center"/>
          </w:tcPr>
          <w:p w14:paraId="5BEC5377">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742" w:type="dxa"/>
            <w:vAlign w:val="center"/>
          </w:tcPr>
          <w:p w14:paraId="37415600">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847" w:type="dxa"/>
            <w:vAlign w:val="center"/>
          </w:tcPr>
          <w:p w14:paraId="0254DC5E">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r>
      <w:tr w14:paraId="39EF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444" w:type="pct"/>
            <w:vAlign w:val="center"/>
          </w:tcPr>
          <w:p w14:paraId="13DA37D1">
            <w:pPr>
              <w:pStyle w:val="9"/>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DJMn</w:t>
            </w:r>
          </w:p>
          <w:p w14:paraId="72F200FB">
            <w:pPr>
              <w:pStyle w:val="9"/>
              <w:tabs>
                <w:tab w:val="left" w:pos="525"/>
              </w:tabs>
              <w:jc w:val="center"/>
              <w:rPr>
                <w:rFonts w:hint="default" w:ascii="Times New Roman" w:hAnsi="Times New Roman" w:eastAsia="宋体" w:cs="Times New Roman"/>
                <w:kern w:val="2"/>
                <w:sz w:val="22"/>
                <w:szCs w:val="22"/>
                <w:highlight w:val="none"/>
                <w:vertAlign w:val="baseline"/>
                <w:lang w:val="en-US" w:eastAsia="zh-CN" w:bidi="ar-SA"/>
              </w:rPr>
            </w:pPr>
            <w:r>
              <w:rPr>
                <w:rFonts w:hint="default" w:ascii="Times New Roman" w:hAnsi="Times New Roman" w:cs="Times New Roman"/>
                <w:sz w:val="20"/>
                <w:szCs w:val="20"/>
                <w:highlight w:val="none"/>
              </w:rPr>
              <w:t>(xcl)</w:t>
            </w:r>
            <w:r>
              <w:rPr>
                <w:rFonts w:hint="default" w:ascii="Times New Roman" w:hAnsi="Times New Roman" w:cs="Times New Roman"/>
                <w:sz w:val="20"/>
                <w:szCs w:val="20"/>
                <w:highlight w:val="none"/>
                <w:lang w:val="en-US" w:eastAsia="zh-CN"/>
              </w:rPr>
              <w:t>C</w:t>
            </w:r>
          </w:p>
        </w:tc>
        <w:tc>
          <w:tcPr>
            <w:tcW w:w="636" w:type="dxa"/>
            <w:vAlign w:val="center"/>
          </w:tcPr>
          <w:p w14:paraId="2DF2FE7D">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99.8</w:t>
            </w:r>
          </w:p>
        </w:tc>
        <w:tc>
          <w:tcPr>
            <w:tcW w:w="741" w:type="dxa"/>
            <w:vAlign w:val="center"/>
          </w:tcPr>
          <w:p w14:paraId="0DAFC161">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0.020</w:t>
            </w:r>
          </w:p>
        </w:tc>
        <w:tc>
          <w:tcPr>
            <w:tcW w:w="741" w:type="dxa"/>
            <w:vAlign w:val="center"/>
          </w:tcPr>
          <w:p w14:paraId="6FE848CC">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0.040</w:t>
            </w:r>
          </w:p>
        </w:tc>
        <w:tc>
          <w:tcPr>
            <w:tcW w:w="741" w:type="dxa"/>
            <w:vAlign w:val="center"/>
          </w:tcPr>
          <w:p w14:paraId="04433B20">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0.0015</w:t>
            </w:r>
          </w:p>
        </w:tc>
        <w:tc>
          <w:tcPr>
            <w:tcW w:w="741" w:type="dxa"/>
            <w:vAlign w:val="center"/>
          </w:tcPr>
          <w:p w14:paraId="24A9ED90">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0.015</w:t>
            </w:r>
          </w:p>
        </w:tc>
        <w:tc>
          <w:tcPr>
            <w:tcW w:w="636" w:type="dxa"/>
            <w:vAlign w:val="center"/>
          </w:tcPr>
          <w:p w14:paraId="6E00544C">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0.04</w:t>
            </w:r>
          </w:p>
        </w:tc>
        <w:tc>
          <w:tcPr>
            <w:tcW w:w="741" w:type="dxa"/>
            <w:vAlign w:val="center"/>
          </w:tcPr>
          <w:p w14:paraId="1366ABCB">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741" w:type="dxa"/>
            <w:vAlign w:val="center"/>
          </w:tcPr>
          <w:p w14:paraId="2740E70D">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0.003</w:t>
            </w:r>
          </w:p>
        </w:tc>
        <w:tc>
          <w:tcPr>
            <w:tcW w:w="741" w:type="dxa"/>
            <w:vAlign w:val="center"/>
          </w:tcPr>
          <w:p w14:paraId="601D9055">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0.010</w:t>
            </w:r>
          </w:p>
        </w:tc>
        <w:tc>
          <w:tcPr>
            <w:tcW w:w="741" w:type="dxa"/>
            <w:vAlign w:val="center"/>
          </w:tcPr>
          <w:p w14:paraId="1B3D9B67">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0.005</w:t>
            </w:r>
          </w:p>
        </w:tc>
        <w:tc>
          <w:tcPr>
            <w:tcW w:w="741" w:type="dxa"/>
            <w:vAlign w:val="center"/>
          </w:tcPr>
          <w:p w14:paraId="22943EC8">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0.020</w:t>
            </w:r>
          </w:p>
        </w:tc>
        <w:tc>
          <w:tcPr>
            <w:tcW w:w="741" w:type="dxa"/>
            <w:vAlign w:val="center"/>
          </w:tcPr>
          <w:p w14:paraId="2DA08B85">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0.0035</w:t>
            </w:r>
          </w:p>
        </w:tc>
        <w:tc>
          <w:tcPr>
            <w:tcW w:w="741" w:type="dxa"/>
            <w:vAlign w:val="center"/>
          </w:tcPr>
          <w:p w14:paraId="114E0BAC">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741" w:type="dxa"/>
            <w:vAlign w:val="center"/>
          </w:tcPr>
          <w:p w14:paraId="0E4E0738">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846" w:type="dxa"/>
            <w:vAlign w:val="center"/>
          </w:tcPr>
          <w:p w14:paraId="2E5C96B6">
            <w:pPr>
              <w:pStyle w:val="9"/>
              <w:tabs>
                <w:tab w:val="left" w:pos="525"/>
              </w:tabs>
              <w:jc w:val="center"/>
              <w:rPr>
                <w:rFonts w:hint="default" w:ascii="Times New Roman" w:hAnsi="Times New Roman" w:cs="Times New Roman"/>
                <w:sz w:val="22"/>
                <w:szCs w:val="22"/>
                <w:highlight w:val="none"/>
                <w:vertAlign w:val="baseline"/>
                <w:lang w:val="en-US"/>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0.0025</w:t>
            </w:r>
          </w:p>
        </w:tc>
        <w:tc>
          <w:tcPr>
            <w:tcW w:w="846" w:type="dxa"/>
            <w:vAlign w:val="center"/>
          </w:tcPr>
          <w:p w14:paraId="4107F4DF">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c>
          <w:tcPr>
            <w:tcW w:w="636" w:type="dxa"/>
            <w:vAlign w:val="center"/>
          </w:tcPr>
          <w:p w14:paraId="76537584">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0.01</w:t>
            </w:r>
          </w:p>
        </w:tc>
        <w:tc>
          <w:tcPr>
            <w:tcW w:w="847" w:type="dxa"/>
            <w:vAlign w:val="center"/>
          </w:tcPr>
          <w:p w14:paraId="1C815DC7">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0.002</w:t>
            </w:r>
          </w:p>
        </w:tc>
        <w:tc>
          <w:tcPr>
            <w:tcW w:w="742" w:type="dxa"/>
            <w:vAlign w:val="center"/>
          </w:tcPr>
          <w:p w14:paraId="4EBA7F43">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0.001</w:t>
            </w:r>
          </w:p>
        </w:tc>
        <w:tc>
          <w:tcPr>
            <w:tcW w:w="847" w:type="dxa"/>
            <w:vAlign w:val="center"/>
          </w:tcPr>
          <w:p w14:paraId="232569B8">
            <w:pPr>
              <w:pStyle w:val="9"/>
              <w:tabs>
                <w:tab w:val="left" w:pos="525"/>
              </w:tabs>
              <w:jc w:val="center"/>
              <w:rPr>
                <w:rFonts w:hint="default" w:ascii="Times New Roman" w:hAnsi="Times New Roman" w:cs="Times New Roman"/>
                <w:sz w:val="22"/>
                <w:szCs w:val="22"/>
                <w:highlight w:val="none"/>
                <w:vertAlign w:val="baseline"/>
              </w:rPr>
            </w:pPr>
            <w:r>
              <w:rPr>
                <w:rFonts w:hint="default" w:ascii="Times New Roman" w:hAnsi="Times New Roman" w:cs="Times New Roman"/>
                <w:sz w:val="20"/>
                <w:szCs w:val="20"/>
                <w:highlight w:val="none"/>
                <w:vertAlign w:val="baseline"/>
                <w:lang w:eastAsia="zh-CN"/>
              </w:rPr>
              <w:t>≤</w:t>
            </w:r>
            <w:r>
              <w:rPr>
                <w:rFonts w:hint="default" w:ascii="Times New Roman" w:hAnsi="Times New Roman" w:cs="Times New Roman"/>
                <w:sz w:val="20"/>
                <w:szCs w:val="20"/>
                <w:highlight w:val="none"/>
                <w:vertAlign w:val="baseline"/>
                <w:lang w:val="en-US" w:eastAsia="zh-CN"/>
              </w:rPr>
              <w:t>0.0005</w:t>
            </w:r>
          </w:p>
        </w:tc>
      </w:tr>
    </w:tbl>
    <w:p w14:paraId="733D6431">
      <w:pPr>
        <w:pStyle w:val="9"/>
        <w:tabs>
          <w:tab w:val="left" w:pos="525"/>
        </w:tabs>
        <w:jc w:val="center"/>
        <w:rPr>
          <w:rFonts w:hint="default" w:ascii="Times New Roman" w:hAnsi="Times New Roman" w:cs="Times New Roman"/>
          <w:sz w:val="24"/>
          <w:szCs w:val="24"/>
        </w:rPr>
      </w:pPr>
    </w:p>
    <w:p w14:paraId="353CDFDA">
      <w:pPr>
        <w:pStyle w:val="9"/>
        <w:tabs>
          <w:tab w:val="left" w:pos="525"/>
        </w:tabs>
        <w:jc w:val="center"/>
        <w:rPr>
          <w:rFonts w:hint="default" w:ascii="Times New Roman" w:hAnsi="Times New Roman" w:cs="Times New Roman"/>
          <w:sz w:val="24"/>
          <w:szCs w:val="24"/>
        </w:rPr>
      </w:pPr>
    </w:p>
    <w:p w14:paraId="2595C26F">
      <w:pPr>
        <w:pStyle w:val="95"/>
        <w:numPr>
          <w:ilvl w:val="0"/>
          <w:numId w:val="0"/>
        </w:numPr>
        <w:spacing w:before="0" w:beforeLines="0" w:after="0" w:afterLines="0" w:line="360" w:lineRule="auto"/>
        <w:outlineLvl w:val="0"/>
        <w:rPr>
          <w:rFonts w:hint="default" w:ascii="Times New Roman" w:hAnsi="Times New Roman" w:cs="Times New Roman"/>
          <w:b/>
          <w:bCs/>
          <w:sz w:val="28"/>
          <w:szCs w:val="28"/>
        </w:rPr>
        <w:sectPr>
          <w:pgSz w:w="16838" w:h="11911" w:orient="landscape"/>
          <w:pgMar w:top="1417" w:right="567" w:bottom="1417" w:left="567" w:header="1134" w:footer="1247" w:gutter="0"/>
          <w:pgNumType w:fmt="decimal"/>
          <w:cols w:space="0" w:num="1"/>
          <w:rtlGutter w:val="0"/>
          <w:docGrid w:linePitch="0" w:charSpace="0"/>
        </w:sectPr>
      </w:pPr>
      <w:bookmarkStart w:id="39" w:name="_Toc16541"/>
      <w:bookmarkStart w:id="40" w:name="_Toc11758"/>
    </w:p>
    <w:p w14:paraId="647C687C">
      <w:pPr>
        <w:pStyle w:val="58"/>
        <w:tabs>
          <w:tab w:val="left" w:pos="744"/>
        </w:tabs>
        <w:spacing w:before="0" w:beforeLines="0" w:after="0" w:afterLines="0"/>
        <w:ind w:left="0" w:firstLine="0"/>
        <w:jc w:val="left"/>
        <w:outlineLvl w:val="1"/>
        <w:rPr>
          <w:rFonts w:hint="default" w:ascii="Times New Roman" w:hAnsi="Times New Roman" w:cs="Times New Roman"/>
          <w:b w:val="0"/>
          <w:bCs w:val="0"/>
          <w:kern w:val="21"/>
          <w:sz w:val="24"/>
          <w:szCs w:val="24"/>
        </w:rPr>
      </w:pPr>
      <w:r>
        <w:rPr>
          <w:rFonts w:hint="default" w:ascii="Times New Roman" w:hAnsi="Times New Roman" w:cs="Times New Roman"/>
          <w:b w:val="0"/>
          <w:bCs w:val="0"/>
          <w:kern w:val="21"/>
          <w:sz w:val="24"/>
          <w:szCs w:val="24"/>
        </w:rPr>
        <w:t>5</w:t>
      </w:r>
      <w:r>
        <w:rPr>
          <w:rFonts w:hint="default" w:ascii="Times New Roman" w:hAnsi="Times New Roman" w:cs="Times New Roman"/>
          <w:b w:val="0"/>
          <w:bCs w:val="0"/>
          <w:kern w:val="21"/>
          <w:sz w:val="24"/>
          <w:szCs w:val="24"/>
          <w:lang w:eastAsia="zh-CN"/>
        </w:rPr>
        <w:t>.</w:t>
      </w:r>
      <w:r>
        <w:rPr>
          <w:rFonts w:hint="default" w:ascii="Times New Roman" w:hAnsi="Times New Roman" w:cs="Times New Roman"/>
          <w:b w:val="0"/>
          <w:bCs w:val="0"/>
          <w:kern w:val="21"/>
          <w:sz w:val="24"/>
          <w:szCs w:val="24"/>
          <w:lang w:val="en-US" w:eastAsia="zh-CN"/>
        </w:rPr>
        <w:t>2</w:t>
      </w:r>
      <w:r>
        <w:rPr>
          <w:rFonts w:hint="default" w:ascii="Times New Roman" w:hAnsi="Times New Roman" w:cs="Times New Roman"/>
          <w:b w:val="0"/>
          <w:bCs w:val="0"/>
          <w:kern w:val="21"/>
          <w:sz w:val="24"/>
          <w:szCs w:val="24"/>
        </w:rPr>
        <w:t xml:space="preserve"> 物理状态</w:t>
      </w:r>
      <w:bookmarkEnd w:id="39"/>
      <w:bookmarkEnd w:id="40"/>
    </w:p>
    <w:p w14:paraId="0250E34F">
      <w:pPr>
        <w:pStyle w:val="58"/>
        <w:tabs>
          <w:tab w:val="left" w:pos="641"/>
        </w:tabs>
        <w:spacing w:before="0" w:beforeLines="0" w:after="0" w:afterLines="0"/>
        <w:ind w:left="0" w:firstLine="0"/>
        <w:outlineLvl w:val="0"/>
        <w:rPr>
          <w:rFonts w:hint="default" w:ascii="Times New Roman" w:hAnsi="Times New Roman" w:cs="Times New Roman"/>
          <w:b w:val="0"/>
          <w:bCs w:val="0"/>
          <w:kern w:val="21"/>
          <w:sz w:val="24"/>
          <w:szCs w:val="24"/>
        </w:rPr>
      </w:pPr>
    </w:p>
    <w:p w14:paraId="10AD9DBA">
      <w:pPr>
        <w:pStyle w:val="58"/>
        <w:tabs>
          <w:tab w:val="left" w:pos="744"/>
        </w:tabs>
        <w:spacing w:before="0" w:line="360" w:lineRule="auto"/>
        <w:ind w:left="0" w:firstLine="0"/>
        <w:jc w:val="left"/>
        <w:rPr>
          <w:rFonts w:hint="default" w:ascii="Times New Roman" w:hAnsi="Times New Roman" w:cs="Times New Roman"/>
          <w:sz w:val="24"/>
        </w:rPr>
      </w:pPr>
      <w:r>
        <w:rPr>
          <w:rFonts w:hint="default" w:ascii="Times New Roman" w:hAnsi="Times New Roman" w:cs="Times New Roman"/>
          <w:sz w:val="24"/>
        </w:rPr>
        <w:t>5.</w:t>
      </w:r>
      <w:r>
        <w:rPr>
          <w:rFonts w:hint="default" w:ascii="Times New Roman" w:hAnsi="Times New Roman" w:cs="Times New Roman"/>
          <w:sz w:val="24"/>
          <w:lang w:val="en-US" w:eastAsia="zh-CN"/>
        </w:rPr>
        <w:t>2.</w:t>
      </w:r>
      <w:r>
        <w:rPr>
          <w:rFonts w:hint="default" w:ascii="Times New Roman" w:hAnsi="Times New Roman" w:cs="Times New Roman"/>
          <w:sz w:val="24"/>
        </w:rPr>
        <w:t>1锰基新能源材料用电解金属锰片不允许掺杂落地锰，不允许有外来夹杂物。</w:t>
      </w:r>
    </w:p>
    <w:p w14:paraId="3367D816">
      <w:pPr>
        <w:pStyle w:val="58"/>
        <w:tabs>
          <w:tab w:val="left" w:pos="744"/>
        </w:tabs>
        <w:spacing w:before="0" w:line="360" w:lineRule="auto"/>
        <w:ind w:left="0" w:firstLine="0"/>
        <w:jc w:val="left"/>
        <w:rPr>
          <w:rFonts w:hint="default" w:ascii="Times New Roman" w:hAnsi="Times New Roman" w:cs="Times New Roman"/>
          <w:sz w:val="24"/>
        </w:rPr>
      </w:pPr>
      <w:r>
        <w:rPr>
          <w:rFonts w:hint="default" w:ascii="Times New Roman" w:hAnsi="Times New Roman" w:cs="Times New Roman"/>
          <w:sz w:val="24"/>
        </w:rPr>
        <w:t>5.2</w:t>
      </w:r>
      <w:r>
        <w:rPr>
          <w:rFonts w:hint="default" w:ascii="Times New Roman" w:hAnsi="Times New Roman" w:cs="Times New Roman"/>
          <w:sz w:val="24"/>
          <w:lang w:val="en-US" w:eastAsia="zh-CN"/>
        </w:rPr>
        <w:t>.2</w:t>
      </w:r>
      <w:r>
        <w:rPr>
          <w:rFonts w:hint="default" w:ascii="Times New Roman" w:hAnsi="Times New Roman" w:cs="Times New Roman"/>
          <w:sz w:val="24"/>
        </w:rPr>
        <w:t>锰基新能源材料用电解金属锰</w:t>
      </w:r>
      <w:r>
        <w:rPr>
          <w:rFonts w:hint="default" w:ascii="Times New Roman" w:hAnsi="Times New Roman" w:cs="Times New Roman"/>
          <w:sz w:val="24"/>
          <w:lang w:eastAsia="zh-CN"/>
        </w:rPr>
        <w:t>应</w:t>
      </w:r>
      <w:r>
        <w:rPr>
          <w:rFonts w:hint="default" w:ascii="Times New Roman" w:hAnsi="Times New Roman" w:cs="Times New Roman"/>
          <w:sz w:val="24"/>
        </w:rPr>
        <w:t>呈片状交，小于3</w:t>
      </w:r>
      <w:r>
        <w:rPr>
          <w:rFonts w:hint="default" w:ascii="Times New Roman" w:hAnsi="Times New Roman" w:cs="Times New Roman"/>
          <w:spacing w:val="-2"/>
          <w:sz w:val="24"/>
        </w:rPr>
        <w:t xml:space="preserve"> </w:t>
      </w:r>
      <w:r>
        <w:rPr>
          <w:rFonts w:hint="default" w:ascii="Times New Roman" w:hAnsi="Times New Roman" w:cs="Times New Roman"/>
          <w:sz w:val="24"/>
        </w:rPr>
        <w:t>mm×3</w:t>
      </w:r>
      <w:r>
        <w:rPr>
          <w:rFonts w:hint="default" w:ascii="Times New Roman" w:hAnsi="Times New Roman" w:cs="Times New Roman"/>
          <w:spacing w:val="1"/>
          <w:sz w:val="24"/>
        </w:rPr>
        <w:t xml:space="preserve"> </w:t>
      </w:r>
      <w:r>
        <w:rPr>
          <w:rFonts w:hint="default" w:ascii="Times New Roman" w:hAnsi="Times New Roman" w:cs="Times New Roman"/>
          <w:sz w:val="24"/>
        </w:rPr>
        <w:t>mm的数量应不超过总重量的15%。</w:t>
      </w:r>
    </w:p>
    <w:p w14:paraId="6123099C">
      <w:pPr>
        <w:pStyle w:val="58"/>
        <w:tabs>
          <w:tab w:val="left" w:pos="744"/>
        </w:tabs>
        <w:spacing w:before="0" w:line="360" w:lineRule="auto"/>
        <w:ind w:left="0" w:firstLine="0"/>
        <w:jc w:val="left"/>
        <w:rPr>
          <w:rFonts w:hint="default" w:ascii="Times New Roman" w:hAnsi="Times New Roman" w:cs="Times New Roman"/>
          <w:sz w:val="24"/>
        </w:rPr>
      </w:pPr>
      <w:r>
        <w:rPr>
          <w:rFonts w:hint="default" w:ascii="Times New Roman" w:hAnsi="Times New Roman" w:cs="Times New Roman"/>
          <w:sz w:val="24"/>
        </w:rPr>
        <w:t>5.</w:t>
      </w:r>
      <w:r>
        <w:rPr>
          <w:rFonts w:hint="default" w:ascii="Times New Roman" w:hAnsi="Times New Roman" w:cs="Times New Roman"/>
          <w:sz w:val="24"/>
          <w:lang w:val="en-US" w:eastAsia="zh-CN"/>
        </w:rPr>
        <w:t>2.</w:t>
      </w:r>
      <w:r>
        <w:rPr>
          <w:rFonts w:hint="default" w:ascii="Times New Roman" w:hAnsi="Times New Roman" w:cs="Times New Roman"/>
          <w:sz w:val="24"/>
        </w:rPr>
        <w:t>3锰基新能源材料用电解金属锰如以粉状交货，具体要求由供需双方另行协商确定，并在合同中注明。</w:t>
      </w:r>
    </w:p>
    <w:p w14:paraId="4D319F96">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41" w:name="6_试验方法"/>
      <w:bookmarkEnd w:id="41"/>
      <w:bookmarkStart w:id="42" w:name="_Toc6850"/>
      <w:bookmarkStart w:id="43" w:name="_Toc31238"/>
      <w:bookmarkStart w:id="44" w:name="_Toc19126"/>
      <w:bookmarkStart w:id="45" w:name="_Toc28797"/>
      <w:r>
        <w:rPr>
          <w:rFonts w:hint="default" w:ascii="Times New Roman" w:hAnsi="Times New Roman" w:cs="Times New Roman"/>
          <w:b w:val="0"/>
          <w:bCs w:val="0"/>
          <w:sz w:val="28"/>
          <w:szCs w:val="28"/>
        </w:rPr>
        <w:t>6 试验方法</w:t>
      </w:r>
      <w:bookmarkEnd w:id="42"/>
      <w:bookmarkEnd w:id="43"/>
      <w:bookmarkEnd w:id="44"/>
      <w:bookmarkEnd w:id="45"/>
    </w:p>
    <w:p w14:paraId="19B39581">
      <w:pPr>
        <w:pStyle w:val="58"/>
        <w:tabs>
          <w:tab w:val="left" w:pos="744"/>
        </w:tabs>
        <w:spacing w:before="0" w:line="360" w:lineRule="auto"/>
        <w:ind w:left="0" w:firstLine="0"/>
        <w:jc w:val="left"/>
        <w:outlineLvl w:val="1"/>
        <w:rPr>
          <w:rFonts w:hint="default" w:ascii="Times New Roman" w:hAnsi="Times New Roman" w:cs="Times New Roman"/>
          <w:sz w:val="24"/>
        </w:rPr>
      </w:pPr>
      <w:bookmarkStart w:id="46" w:name="_Toc15180"/>
      <w:r>
        <w:rPr>
          <w:rFonts w:hint="default" w:ascii="Times New Roman" w:hAnsi="Times New Roman" w:cs="Times New Roman"/>
          <w:sz w:val="24"/>
        </w:rPr>
        <w:t>6.1取样与制样</w:t>
      </w:r>
      <w:bookmarkEnd w:id="46"/>
    </w:p>
    <w:p w14:paraId="52985B73">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锰基新能源材料用电解金属锰化学分析用试样的采取和制备参考GB/T 4010规定进行。</w:t>
      </w:r>
    </w:p>
    <w:p w14:paraId="60AE682B">
      <w:pPr>
        <w:pStyle w:val="58"/>
        <w:tabs>
          <w:tab w:val="left" w:pos="744"/>
        </w:tabs>
        <w:spacing w:before="0" w:line="360" w:lineRule="auto"/>
        <w:ind w:left="0" w:firstLine="0"/>
        <w:jc w:val="left"/>
        <w:outlineLvl w:val="1"/>
        <w:rPr>
          <w:rFonts w:hint="default" w:ascii="Times New Roman" w:hAnsi="Times New Roman" w:cs="Times New Roman"/>
          <w:sz w:val="24"/>
        </w:rPr>
      </w:pPr>
      <w:bookmarkStart w:id="47" w:name="_Toc26623"/>
      <w:r>
        <w:rPr>
          <w:rFonts w:hint="default" w:ascii="Times New Roman" w:hAnsi="Times New Roman" w:cs="Times New Roman"/>
          <w:sz w:val="24"/>
        </w:rPr>
        <w:t>6.2化学分析</w:t>
      </w:r>
      <w:bookmarkEnd w:id="47"/>
    </w:p>
    <w:p w14:paraId="6ED57D09">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锰基新能源材料用电解金属锰化学分析应符合表2的规定。</w:t>
      </w:r>
    </w:p>
    <w:p w14:paraId="5D02A9B7">
      <w:pPr>
        <w:pStyle w:val="9"/>
        <w:spacing w:line="360" w:lineRule="auto"/>
        <w:ind w:firstLine="480" w:firstLineChars="200"/>
        <w:rPr>
          <w:rFonts w:hint="default" w:ascii="Times New Roman" w:hAnsi="Times New Roman" w:cs="Times New Roman"/>
          <w:sz w:val="24"/>
          <w:szCs w:val="24"/>
        </w:rPr>
      </w:pPr>
    </w:p>
    <w:p w14:paraId="1A95D857">
      <w:pPr>
        <w:pStyle w:val="9"/>
        <w:jc w:val="center"/>
        <w:rPr>
          <w:rFonts w:hint="default" w:ascii="Times New Roman" w:hAnsi="Times New Roman" w:cs="Times New Roman"/>
          <w:sz w:val="24"/>
          <w:szCs w:val="24"/>
        </w:rPr>
      </w:pPr>
      <w:r>
        <w:rPr>
          <w:rFonts w:hint="default" w:ascii="Times New Roman" w:hAnsi="Times New Roman" w:cs="Times New Roman"/>
          <w:sz w:val="24"/>
          <w:szCs w:val="24"/>
        </w:rPr>
        <w:t>表2</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电解金属锰化学分析方法</w:t>
      </w:r>
    </w:p>
    <w:tbl>
      <w:tblPr>
        <w:tblStyle w:val="34"/>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33"/>
        <w:gridCol w:w="2063"/>
        <w:gridCol w:w="6182"/>
      </w:tblGrid>
      <w:tr w14:paraId="46F2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Header/>
          <w:jc w:val="center"/>
        </w:trPr>
        <w:tc>
          <w:tcPr>
            <w:tcW w:w="459" w:type="pct"/>
            <w:tcBorders>
              <w:tl2br w:val="nil"/>
              <w:tr2bl w:val="nil"/>
            </w:tcBorders>
            <w:vAlign w:val="center"/>
          </w:tcPr>
          <w:p w14:paraId="38739E74">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序号</w:t>
            </w:r>
          </w:p>
        </w:tc>
        <w:tc>
          <w:tcPr>
            <w:tcW w:w="1136" w:type="pct"/>
            <w:tcBorders>
              <w:tl2br w:val="nil"/>
              <w:tr2bl w:val="nil"/>
            </w:tcBorders>
            <w:vAlign w:val="center"/>
          </w:tcPr>
          <w:p w14:paraId="09BA3DCF">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元素</w:t>
            </w:r>
          </w:p>
        </w:tc>
        <w:tc>
          <w:tcPr>
            <w:tcW w:w="3403" w:type="pct"/>
            <w:tcBorders>
              <w:tl2br w:val="nil"/>
              <w:tr2bl w:val="nil"/>
            </w:tcBorders>
            <w:vAlign w:val="center"/>
          </w:tcPr>
          <w:p w14:paraId="5D6FB009">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分析方法</w:t>
            </w:r>
          </w:p>
        </w:tc>
      </w:tr>
      <w:tr w14:paraId="2DAC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1BF94E1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1</w:t>
            </w:r>
          </w:p>
        </w:tc>
        <w:tc>
          <w:tcPr>
            <w:tcW w:w="1136" w:type="pct"/>
            <w:tcBorders>
              <w:tl2br w:val="nil"/>
              <w:tr2bl w:val="nil"/>
            </w:tcBorders>
            <w:vAlign w:val="center"/>
          </w:tcPr>
          <w:p w14:paraId="5CA4714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C</w:t>
            </w:r>
          </w:p>
        </w:tc>
        <w:tc>
          <w:tcPr>
            <w:tcW w:w="3403" w:type="pct"/>
            <w:tcBorders>
              <w:tl2br w:val="nil"/>
              <w:tr2bl w:val="nil"/>
            </w:tcBorders>
            <w:vAlign w:val="center"/>
          </w:tcPr>
          <w:p w14:paraId="724EBF6F">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5686.5规定进行</w:t>
            </w:r>
          </w:p>
        </w:tc>
      </w:tr>
      <w:tr w14:paraId="5C05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0F9B57CD">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2</w:t>
            </w:r>
          </w:p>
        </w:tc>
        <w:tc>
          <w:tcPr>
            <w:tcW w:w="1136" w:type="pct"/>
            <w:tcBorders>
              <w:tl2br w:val="nil"/>
              <w:tr2bl w:val="nil"/>
            </w:tcBorders>
            <w:vAlign w:val="center"/>
          </w:tcPr>
          <w:p w14:paraId="0AEE0FA2">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S</w:t>
            </w:r>
          </w:p>
        </w:tc>
        <w:tc>
          <w:tcPr>
            <w:tcW w:w="3403" w:type="pct"/>
            <w:tcBorders>
              <w:tl2br w:val="nil"/>
              <w:tr2bl w:val="nil"/>
            </w:tcBorders>
            <w:vAlign w:val="center"/>
          </w:tcPr>
          <w:p w14:paraId="39701F6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5686.7规定进行</w:t>
            </w:r>
          </w:p>
        </w:tc>
      </w:tr>
      <w:tr w14:paraId="3C4E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4ECD4D2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3</w:t>
            </w:r>
          </w:p>
        </w:tc>
        <w:tc>
          <w:tcPr>
            <w:tcW w:w="1136" w:type="pct"/>
            <w:tcBorders>
              <w:tl2br w:val="nil"/>
              <w:tr2bl w:val="nil"/>
            </w:tcBorders>
            <w:vAlign w:val="center"/>
          </w:tcPr>
          <w:p w14:paraId="1D2042E3">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P</w:t>
            </w:r>
          </w:p>
        </w:tc>
        <w:tc>
          <w:tcPr>
            <w:tcW w:w="3403" w:type="pct"/>
            <w:tcBorders>
              <w:tl2br w:val="nil"/>
              <w:tr2bl w:val="nil"/>
            </w:tcBorders>
            <w:vAlign w:val="center"/>
          </w:tcPr>
          <w:p w14:paraId="32853B65">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5686.4、</w:t>
            </w:r>
            <w:r>
              <w:rPr>
                <w:rFonts w:hint="default" w:ascii="Times New Roman" w:hAnsi="Times New Roman" w:eastAsia="宋体" w:cs="Times New Roman"/>
                <w:color w:val="auto"/>
                <w:sz w:val="24"/>
                <w:highlight w:val="none"/>
              </w:rPr>
              <w:t>SN/T 1427</w:t>
            </w:r>
            <w:r>
              <w:rPr>
                <w:rFonts w:hint="default" w:ascii="Times New Roman" w:hAnsi="Times New Roman" w:eastAsia="宋体" w:cs="Times New Roman"/>
                <w:sz w:val="24"/>
              </w:rPr>
              <w:t>规定进行或附录A</w:t>
            </w:r>
            <w:r>
              <w:rPr>
                <w:rFonts w:hint="default" w:ascii="Times New Roman" w:hAnsi="Times New Roman" w:eastAsia="宋体" w:cs="Times New Roman"/>
                <w:sz w:val="24"/>
                <w:lang w:val="en-US" w:eastAsia="zh-CN"/>
              </w:rPr>
              <w:t>规定</w:t>
            </w:r>
            <w:r>
              <w:rPr>
                <w:rFonts w:hint="default" w:ascii="Times New Roman" w:hAnsi="Times New Roman" w:eastAsia="宋体" w:cs="Times New Roman"/>
                <w:sz w:val="24"/>
              </w:rPr>
              <w:t>进行</w:t>
            </w:r>
          </w:p>
        </w:tc>
      </w:tr>
      <w:tr w14:paraId="73B4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1348114C">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4</w:t>
            </w:r>
          </w:p>
        </w:tc>
        <w:tc>
          <w:tcPr>
            <w:tcW w:w="1136" w:type="pct"/>
            <w:tcBorders>
              <w:tl2br w:val="nil"/>
              <w:tr2bl w:val="nil"/>
            </w:tcBorders>
            <w:vAlign w:val="center"/>
          </w:tcPr>
          <w:p w14:paraId="4B59D4A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Si</w:t>
            </w:r>
          </w:p>
        </w:tc>
        <w:tc>
          <w:tcPr>
            <w:tcW w:w="3403" w:type="pct"/>
            <w:tcBorders>
              <w:tl2br w:val="nil"/>
              <w:tr2bl w:val="nil"/>
            </w:tcBorders>
            <w:vAlign w:val="center"/>
          </w:tcPr>
          <w:p w14:paraId="7044F9ED">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5686.2、SN/T 1427规定进行或附录B</w:t>
            </w:r>
            <w:r>
              <w:rPr>
                <w:rFonts w:hint="default" w:ascii="Times New Roman" w:hAnsi="Times New Roman" w:eastAsia="宋体" w:cs="Times New Roman"/>
                <w:sz w:val="24"/>
                <w:lang w:val="en-US" w:eastAsia="zh-CN"/>
              </w:rPr>
              <w:t>规定</w:t>
            </w:r>
            <w:r>
              <w:rPr>
                <w:rFonts w:hint="default" w:ascii="Times New Roman" w:hAnsi="Times New Roman" w:eastAsia="宋体" w:cs="Times New Roman"/>
                <w:sz w:val="24"/>
              </w:rPr>
              <w:t>进行</w:t>
            </w:r>
          </w:p>
        </w:tc>
      </w:tr>
      <w:tr w14:paraId="2E4A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5682748C">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5</w:t>
            </w:r>
          </w:p>
        </w:tc>
        <w:tc>
          <w:tcPr>
            <w:tcW w:w="1136" w:type="pct"/>
            <w:tcBorders>
              <w:tl2br w:val="nil"/>
              <w:tr2bl w:val="nil"/>
            </w:tcBorders>
            <w:vAlign w:val="center"/>
          </w:tcPr>
          <w:p w14:paraId="466D55BE">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Se</w:t>
            </w:r>
          </w:p>
        </w:tc>
        <w:tc>
          <w:tcPr>
            <w:tcW w:w="3403" w:type="pct"/>
            <w:tcBorders>
              <w:tl2br w:val="nil"/>
              <w:tr2bl w:val="nil"/>
            </w:tcBorders>
            <w:vAlign w:val="center"/>
          </w:tcPr>
          <w:p w14:paraId="0BACE367">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8654.</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规定进行或附录C</w:t>
            </w:r>
            <w:r>
              <w:rPr>
                <w:rFonts w:hint="default" w:ascii="Times New Roman" w:hAnsi="Times New Roman" w:eastAsia="宋体" w:cs="Times New Roman"/>
                <w:sz w:val="24"/>
                <w:lang w:val="en-US" w:eastAsia="zh-CN"/>
              </w:rPr>
              <w:t>规定</w:t>
            </w:r>
            <w:r>
              <w:rPr>
                <w:rFonts w:hint="default" w:ascii="Times New Roman" w:hAnsi="Times New Roman" w:eastAsia="宋体" w:cs="Times New Roman"/>
                <w:sz w:val="24"/>
              </w:rPr>
              <w:t>进行</w:t>
            </w:r>
          </w:p>
        </w:tc>
      </w:tr>
      <w:tr w14:paraId="5A3D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03438532">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6</w:t>
            </w:r>
          </w:p>
        </w:tc>
        <w:tc>
          <w:tcPr>
            <w:tcW w:w="1136" w:type="pct"/>
            <w:tcBorders>
              <w:tl2br w:val="nil"/>
              <w:tr2bl w:val="nil"/>
            </w:tcBorders>
            <w:vAlign w:val="center"/>
          </w:tcPr>
          <w:p w14:paraId="0BA5E2D7">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Fe</w:t>
            </w:r>
          </w:p>
        </w:tc>
        <w:tc>
          <w:tcPr>
            <w:tcW w:w="3403" w:type="pct"/>
            <w:tcBorders>
              <w:tl2br w:val="nil"/>
              <w:tr2bl w:val="nil"/>
            </w:tcBorders>
            <w:vAlign w:val="center"/>
          </w:tcPr>
          <w:p w14:paraId="65FD71A2">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按GB/T 8654.</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rPr>
              <w:t>、SN/T 1427规定或附录C</w:t>
            </w:r>
            <w:r>
              <w:rPr>
                <w:rFonts w:hint="default" w:ascii="Times New Roman" w:hAnsi="Times New Roman" w:eastAsia="宋体" w:cs="Times New Roman"/>
                <w:sz w:val="24"/>
                <w:lang w:val="en-US" w:eastAsia="zh-CN"/>
              </w:rPr>
              <w:t>规定</w:t>
            </w:r>
            <w:r>
              <w:rPr>
                <w:rFonts w:hint="default" w:ascii="Times New Roman" w:hAnsi="Times New Roman" w:eastAsia="宋体" w:cs="Times New Roman"/>
                <w:sz w:val="24"/>
              </w:rPr>
              <w:t>进行</w:t>
            </w:r>
          </w:p>
        </w:tc>
      </w:tr>
      <w:tr w14:paraId="0894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50D3D6BF">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7</w:t>
            </w:r>
          </w:p>
        </w:tc>
        <w:tc>
          <w:tcPr>
            <w:tcW w:w="1136" w:type="pct"/>
            <w:tcBorders>
              <w:tl2br w:val="nil"/>
              <w:tr2bl w:val="nil"/>
            </w:tcBorders>
            <w:vAlign w:val="center"/>
          </w:tcPr>
          <w:p w14:paraId="4F9A8D4D">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K</w:t>
            </w:r>
          </w:p>
        </w:tc>
        <w:tc>
          <w:tcPr>
            <w:tcW w:w="3403" w:type="pct"/>
            <w:tcBorders>
              <w:tl2br w:val="nil"/>
              <w:tr2bl w:val="nil"/>
            </w:tcBorders>
            <w:vAlign w:val="center"/>
          </w:tcPr>
          <w:p w14:paraId="51F9184C">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按附录D规定进行</w:t>
            </w:r>
          </w:p>
        </w:tc>
      </w:tr>
      <w:tr w14:paraId="1A03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59" w:type="pct"/>
            <w:tcBorders>
              <w:tl2br w:val="nil"/>
              <w:tr2bl w:val="nil"/>
            </w:tcBorders>
            <w:vAlign w:val="center"/>
          </w:tcPr>
          <w:p w14:paraId="4F45CBD0">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8</w:t>
            </w:r>
          </w:p>
        </w:tc>
        <w:tc>
          <w:tcPr>
            <w:tcW w:w="1136" w:type="pct"/>
            <w:tcBorders>
              <w:tl2br w:val="nil"/>
              <w:tr2bl w:val="nil"/>
            </w:tcBorders>
            <w:vAlign w:val="center"/>
          </w:tcPr>
          <w:p w14:paraId="3E1BBF83">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Na</w:t>
            </w:r>
          </w:p>
        </w:tc>
        <w:tc>
          <w:tcPr>
            <w:tcW w:w="3403" w:type="pct"/>
            <w:tcBorders>
              <w:tl2br w:val="nil"/>
              <w:tr2bl w:val="nil"/>
            </w:tcBorders>
            <w:vAlign w:val="center"/>
          </w:tcPr>
          <w:p w14:paraId="001E4E64">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按附录E规定进行</w:t>
            </w:r>
          </w:p>
        </w:tc>
      </w:tr>
      <w:tr w14:paraId="7226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5" w:hRule="atLeast"/>
          <w:jc w:val="center"/>
        </w:trPr>
        <w:tc>
          <w:tcPr>
            <w:tcW w:w="459" w:type="pct"/>
            <w:tcBorders>
              <w:tl2br w:val="nil"/>
              <w:tr2bl w:val="nil"/>
            </w:tcBorders>
            <w:vAlign w:val="center"/>
          </w:tcPr>
          <w:p w14:paraId="58380103">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9</w:t>
            </w:r>
          </w:p>
        </w:tc>
        <w:tc>
          <w:tcPr>
            <w:tcW w:w="1136" w:type="pct"/>
            <w:tcBorders>
              <w:tl2br w:val="nil"/>
              <w:tr2bl w:val="nil"/>
            </w:tcBorders>
            <w:vAlign w:val="center"/>
          </w:tcPr>
          <w:p w14:paraId="16AB5A19">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Ca、Mg、Al、Zn、Co、Ni、Cu、Cd、Pb、Cr、Ti</w:t>
            </w:r>
          </w:p>
        </w:tc>
        <w:tc>
          <w:tcPr>
            <w:tcW w:w="3403" w:type="pct"/>
            <w:tcBorders>
              <w:tl2br w:val="nil"/>
              <w:tr2bl w:val="nil"/>
            </w:tcBorders>
            <w:vAlign w:val="center"/>
          </w:tcPr>
          <w:p w14:paraId="795805B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按附录C</w:t>
            </w:r>
            <w:r>
              <w:rPr>
                <w:rFonts w:hint="default" w:ascii="Times New Roman" w:hAnsi="Times New Roman" w:eastAsia="宋体" w:cs="Times New Roman"/>
                <w:sz w:val="24"/>
                <w:lang w:val="en-US" w:eastAsia="zh-CN"/>
              </w:rPr>
              <w:t>规定</w:t>
            </w:r>
            <w:r>
              <w:rPr>
                <w:rFonts w:hint="default" w:ascii="Times New Roman" w:hAnsi="Times New Roman" w:eastAsia="宋体" w:cs="Times New Roman"/>
                <w:sz w:val="24"/>
              </w:rPr>
              <w:t>进行</w:t>
            </w:r>
          </w:p>
        </w:tc>
      </w:tr>
      <w:tr w14:paraId="442F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000" w:type="pct"/>
            <w:gridSpan w:val="3"/>
            <w:tcBorders>
              <w:tl2br w:val="nil"/>
              <w:tr2bl w:val="nil"/>
            </w:tcBorders>
            <w:vAlign w:val="center"/>
          </w:tcPr>
          <w:p w14:paraId="67FB0CF8">
            <w:pPr>
              <w:pStyle w:val="89"/>
              <w:spacing w:before="0"/>
              <w:ind w:left="0"/>
              <w:rPr>
                <w:rFonts w:hint="default" w:ascii="Times New Roman" w:hAnsi="Times New Roman" w:eastAsia="宋体" w:cs="Times New Roman"/>
                <w:sz w:val="24"/>
              </w:rPr>
            </w:pPr>
            <w:r>
              <w:rPr>
                <w:rFonts w:hint="default" w:ascii="Times New Roman" w:hAnsi="Times New Roman" w:eastAsia="宋体" w:cs="Times New Roman"/>
                <w:sz w:val="24"/>
              </w:rPr>
              <w:t>注：供需双方有特殊需求，Fe、Cr、Ni、Zn也可采用双方协商的分析方法检验。</w:t>
            </w:r>
          </w:p>
        </w:tc>
      </w:tr>
    </w:tbl>
    <w:p w14:paraId="5CCF8AA3">
      <w:pPr>
        <w:spacing w:line="360" w:lineRule="auto"/>
        <w:rPr>
          <w:rFonts w:hint="default" w:ascii="Times New Roman" w:hAnsi="Times New Roman" w:cs="Times New Roman"/>
          <w:vanish/>
          <w:sz w:val="24"/>
        </w:rPr>
      </w:pPr>
    </w:p>
    <w:p w14:paraId="000C866F">
      <w:pPr>
        <w:pStyle w:val="95"/>
        <w:numPr>
          <w:ilvl w:val="0"/>
          <w:numId w:val="0"/>
        </w:numPr>
        <w:spacing w:before="0" w:beforeLines="0" w:after="0" w:afterLines="0" w:line="360" w:lineRule="auto"/>
        <w:outlineLvl w:val="0"/>
        <w:rPr>
          <w:rFonts w:hint="default" w:ascii="Times New Roman" w:hAnsi="Times New Roman" w:cs="Times New Roman"/>
          <w:b/>
          <w:bCs/>
          <w:sz w:val="28"/>
          <w:szCs w:val="28"/>
        </w:rPr>
      </w:pPr>
      <w:bookmarkStart w:id="48" w:name="_Toc31748"/>
      <w:bookmarkStart w:id="49" w:name="_Toc10614"/>
    </w:p>
    <w:p w14:paraId="6890E7DF">
      <w:pPr>
        <w:pStyle w:val="95"/>
        <w:numPr>
          <w:ilvl w:val="0"/>
          <w:numId w:val="0"/>
        </w:numPr>
        <w:spacing w:before="0" w:beforeLines="0" w:after="0" w:afterLines="0" w:line="360" w:lineRule="auto"/>
        <w:outlineLvl w:val="0"/>
        <w:rPr>
          <w:rFonts w:hint="default" w:ascii="Times New Roman" w:hAnsi="Times New Roman" w:cs="Times New Roman"/>
          <w:b w:val="0"/>
          <w:bCs w:val="0"/>
          <w:sz w:val="28"/>
          <w:szCs w:val="28"/>
        </w:rPr>
      </w:pPr>
      <w:bookmarkStart w:id="50" w:name="_Toc11326"/>
      <w:bookmarkStart w:id="51" w:name="_Toc20556"/>
      <w:r>
        <w:rPr>
          <w:rFonts w:hint="default" w:ascii="Times New Roman" w:hAnsi="Times New Roman" w:cs="Times New Roman"/>
          <w:b w:val="0"/>
          <w:bCs w:val="0"/>
          <w:sz w:val="28"/>
          <w:szCs w:val="28"/>
        </w:rPr>
        <w:t>7 检验规则</w:t>
      </w:r>
      <w:bookmarkEnd w:id="48"/>
      <w:bookmarkEnd w:id="49"/>
      <w:bookmarkEnd w:id="50"/>
      <w:bookmarkEnd w:id="51"/>
    </w:p>
    <w:p w14:paraId="1AF9B872">
      <w:pPr>
        <w:pStyle w:val="58"/>
        <w:tabs>
          <w:tab w:val="left" w:pos="586"/>
        </w:tabs>
        <w:spacing w:before="0" w:line="360" w:lineRule="auto"/>
        <w:ind w:left="0" w:firstLine="0"/>
        <w:outlineLvl w:val="1"/>
        <w:rPr>
          <w:rFonts w:hint="default" w:ascii="Times New Roman" w:hAnsi="Times New Roman" w:cs="Times New Roman"/>
          <w:kern w:val="21"/>
          <w:sz w:val="24"/>
        </w:rPr>
      </w:pPr>
      <w:r>
        <w:rPr>
          <w:rFonts w:hint="default" w:ascii="Times New Roman" w:hAnsi="Times New Roman" w:cs="Times New Roman"/>
          <w:kern w:val="21"/>
          <w:sz w:val="24"/>
        </w:rPr>
        <w:t>7.1质量检查和验收</w:t>
      </w:r>
    </w:p>
    <w:p w14:paraId="2E625D4C">
      <w:pPr>
        <w:pStyle w:val="9"/>
        <w:spacing w:line="360" w:lineRule="auto"/>
        <w:ind w:firstLine="420"/>
        <w:rPr>
          <w:rFonts w:hint="default" w:ascii="Times New Roman" w:hAnsi="Times New Roman" w:cs="Times New Roman"/>
          <w:kern w:val="21"/>
          <w:sz w:val="24"/>
          <w:szCs w:val="24"/>
        </w:rPr>
      </w:pPr>
      <w:r>
        <w:rPr>
          <w:rFonts w:hint="default" w:ascii="Times New Roman" w:hAnsi="Times New Roman" w:cs="Times New Roman"/>
          <w:kern w:val="21"/>
          <w:sz w:val="24"/>
          <w:szCs w:val="24"/>
        </w:rPr>
        <w:t>锰基新能源材料用电解金属锰的质量和验收由供方技术监督部门进行，需方有权按规定对质量进行验收，如有异议，应在到货45天内提出。</w:t>
      </w:r>
    </w:p>
    <w:p w14:paraId="5ADD5065">
      <w:pPr>
        <w:pStyle w:val="58"/>
        <w:tabs>
          <w:tab w:val="left" w:pos="586"/>
        </w:tabs>
        <w:spacing w:before="0" w:line="360" w:lineRule="auto"/>
        <w:ind w:left="0" w:firstLine="0"/>
        <w:outlineLvl w:val="1"/>
        <w:rPr>
          <w:rFonts w:hint="default" w:ascii="Times New Roman" w:hAnsi="Times New Roman" w:cs="Times New Roman"/>
          <w:kern w:val="21"/>
          <w:sz w:val="24"/>
        </w:rPr>
      </w:pPr>
      <w:r>
        <w:rPr>
          <w:rFonts w:hint="default" w:ascii="Times New Roman" w:hAnsi="Times New Roman" w:cs="Times New Roman"/>
          <w:kern w:val="21"/>
          <w:sz w:val="24"/>
        </w:rPr>
        <w:t>7.2组批</w:t>
      </w:r>
    </w:p>
    <w:p w14:paraId="36B1F00A">
      <w:pPr>
        <w:pStyle w:val="9"/>
        <w:spacing w:line="360" w:lineRule="auto"/>
        <w:ind w:firstLine="480" w:firstLineChars="200"/>
        <w:rPr>
          <w:rFonts w:hint="default" w:ascii="Times New Roman" w:hAnsi="Times New Roman" w:cs="Times New Roman"/>
          <w:kern w:val="21"/>
          <w:sz w:val="24"/>
          <w:szCs w:val="24"/>
        </w:rPr>
      </w:pPr>
      <w:r>
        <w:rPr>
          <w:rFonts w:hint="default" w:ascii="Times New Roman" w:hAnsi="Times New Roman" w:cs="Times New Roman"/>
          <w:kern w:val="21"/>
          <w:sz w:val="24"/>
          <w:szCs w:val="24"/>
        </w:rPr>
        <w:t>锰基新能源材料用电解金属锰应成批交货，交货批量大小由供需双方协定</w:t>
      </w:r>
      <w:r>
        <w:rPr>
          <w:rFonts w:hint="default" w:ascii="Times New Roman" w:hAnsi="Times New Roman" w:cs="Times New Roman"/>
          <w:kern w:val="21"/>
          <w:sz w:val="24"/>
          <w:szCs w:val="24"/>
          <w:lang w:eastAsia="zh-CN"/>
        </w:rPr>
        <w:t>，同时提供完整的批次号与质检单</w:t>
      </w:r>
      <w:r>
        <w:rPr>
          <w:rFonts w:hint="default" w:ascii="Times New Roman" w:hAnsi="Times New Roman" w:cs="Times New Roman"/>
          <w:kern w:val="21"/>
          <w:sz w:val="24"/>
          <w:szCs w:val="24"/>
        </w:rPr>
        <w:t>。</w:t>
      </w:r>
    </w:p>
    <w:p w14:paraId="3DB2BB8D">
      <w:pPr>
        <w:pStyle w:val="95"/>
        <w:numPr>
          <w:ilvl w:val="0"/>
          <w:numId w:val="0"/>
        </w:numPr>
        <w:spacing w:before="0" w:beforeLines="0" w:afterLines="0"/>
        <w:ind w:left="0"/>
        <w:outlineLvl w:val="0"/>
        <w:rPr>
          <w:rFonts w:hint="default" w:ascii="Times New Roman" w:hAnsi="Times New Roman" w:eastAsia="黑体" w:cs="Times New Roman"/>
          <w:kern w:val="0"/>
          <w:sz w:val="28"/>
          <w:szCs w:val="28"/>
          <w:lang w:val="en-US" w:eastAsia="zh-CN"/>
        </w:rPr>
      </w:pPr>
      <w:bookmarkStart w:id="52" w:name="8_包装、储运、标志和质量证明书"/>
      <w:bookmarkEnd w:id="52"/>
      <w:bookmarkStart w:id="53" w:name="_Toc19290"/>
      <w:bookmarkStart w:id="54" w:name="_Toc141"/>
      <w:r>
        <w:rPr>
          <w:rFonts w:hint="default" w:ascii="Times New Roman" w:hAnsi="Times New Roman" w:cs="Times New Roman"/>
          <w:kern w:val="0"/>
          <w:sz w:val="28"/>
          <w:szCs w:val="28"/>
          <w:lang w:val="en-US" w:eastAsia="zh-CN"/>
        </w:rPr>
        <w:t xml:space="preserve">8 </w:t>
      </w:r>
      <w:r>
        <w:rPr>
          <w:rFonts w:hint="default" w:ascii="Times New Roman" w:hAnsi="Times New Roman" w:cs="Times New Roman"/>
          <w:kern w:val="0"/>
          <w:sz w:val="28"/>
          <w:szCs w:val="28"/>
        </w:rPr>
        <w:t>包装</w:t>
      </w:r>
      <w:r>
        <w:rPr>
          <w:rFonts w:hint="default" w:ascii="Times New Roman" w:hAnsi="Times New Roman" w:cs="Times New Roman"/>
          <w:kern w:val="0"/>
          <w:sz w:val="28"/>
          <w:szCs w:val="28"/>
          <w:lang w:eastAsia="zh-CN"/>
        </w:rPr>
        <w:t>、</w:t>
      </w:r>
      <w:r>
        <w:rPr>
          <w:rFonts w:hint="default" w:ascii="Times New Roman" w:hAnsi="Times New Roman" w:cs="Times New Roman"/>
          <w:kern w:val="0"/>
          <w:sz w:val="28"/>
          <w:szCs w:val="28"/>
          <w:lang w:val="en-US" w:eastAsia="zh-CN"/>
        </w:rPr>
        <w:t>储运、标志和质量证明书</w:t>
      </w:r>
      <w:bookmarkEnd w:id="53"/>
      <w:bookmarkEnd w:id="54"/>
    </w:p>
    <w:p w14:paraId="67D9A7FA">
      <w:pPr>
        <w:pStyle w:val="58"/>
        <w:tabs>
          <w:tab w:val="left" w:pos="586"/>
        </w:tabs>
        <w:spacing w:before="0" w:line="360" w:lineRule="auto"/>
        <w:ind w:left="0" w:firstLine="0"/>
        <w:outlineLvl w:val="1"/>
        <w:rPr>
          <w:rFonts w:hint="default" w:ascii="Times New Roman" w:hAnsi="Times New Roman" w:cs="Times New Roman"/>
          <w:kern w:val="21"/>
          <w:sz w:val="24"/>
        </w:rPr>
      </w:pPr>
      <w:r>
        <w:rPr>
          <w:rFonts w:hint="default" w:ascii="Times New Roman" w:hAnsi="Times New Roman" w:cs="Times New Roman"/>
          <w:kern w:val="21"/>
          <w:sz w:val="24"/>
          <w:lang w:val="en-US" w:eastAsia="zh-CN"/>
        </w:rPr>
        <w:t>8.1</w:t>
      </w:r>
      <w:r>
        <w:rPr>
          <w:rFonts w:hint="default" w:ascii="Times New Roman" w:hAnsi="Times New Roman" w:cs="Times New Roman"/>
          <w:kern w:val="21"/>
          <w:sz w:val="24"/>
        </w:rPr>
        <w:t>包装</w:t>
      </w:r>
    </w:p>
    <w:p w14:paraId="0002D667">
      <w:pPr>
        <w:pStyle w:val="9"/>
        <w:spacing w:line="360" w:lineRule="auto"/>
        <w:ind w:firstLine="420"/>
        <w:rPr>
          <w:rFonts w:hint="default" w:ascii="Times New Roman" w:hAnsi="Times New Roman" w:cs="Times New Roman"/>
          <w:kern w:val="21"/>
          <w:sz w:val="24"/>
          <w:szCs w:val="24"/>
        </w:rPr>
      </w:pPr>
      <w:r>
        <w:rPr>
          <w:rFonts w:hint="default" w:ascii="Times New Roman" w:hAnsi="Times New Roman" w:cs="Times New Roman"/>
          <w:kern w:val="21"/>
          <w:sz w:val="24"/>
          <w:szCs w:val="24"/>
        </w:rPr>
        <w:t>产品宜采用内层塑料袋外层铁桶或内层塑料袋外层编制袋包装，铁桶装净重100Kg或250Kg，编织袋装净重1000kg。特殊包装，由供需双方另协商。</w:t>
      </w:r>
    </w:p>
    <w:p w14:paraId="5FFB7D78">
      <w:pPr>
        <w:pStyle w:val="58"/>
        <w:tabs>
          <w:tab w:val="left" w:pos="586"/>
        </w:tabs>
        <w:spacing w:before="0" w:line="360" w:lineRule="auto"/>
        <w:ind w:left="0" w:firstLine="0"/>
        <w:outlineLvl w:val="1"/>
        <w:rPr>
          <w:rFonts w:hint="default" w:ascii="Times New Roman" w:hAnsi="Times New Roman" w:cs="Times New Roman"/>
          <w:kern w:val="21"/>
          <w:sz w:val="24"/>
        </w:rPr>
      </w:pPr>
      <w:r>
        <w:rPr>
          <w:rFonts w:hint="default" w:ascii="Times New Roman" w:hAnsi="Times New Roman" w:cs="Times New Roman"/>
          <w:kern w:val="21"/>
          <w:sz w:val="24"/>
          <w:lang w:val="en-US" w:eastAsia="zh-CN"/>
        </w:rPr>
        <w:t>8.2</w:t>
      </w:r>
      <w:r>
        <w:rPr>
          <w:rFonts w:hint="default" w:ascii="Times New Roman" w:hAnsi="Times New Roman" w:cs="Times New Roman"/>
          <w:kern w:val="21"/>
          <w:sz w:val="24"/>
        </w:rPr>
        <w:t>储运</w:t>
      </w:r>
    </w:p>
    <w:p w14:paraId="4FE43EFF">
      <w:pPr>
        <w:pStyle w:val="58"/>
        <w:tabs>
          <w:tab w:val="left" w:pos="744"/>
        </w:tabs>
        <w:spacing w:before="0" w:line="360" w:lineRule="auto"/>
        <w:ind w:left="0" w:firstLine="0"/>
        <w:outlineLvl w:val="2"/>
        <w:rPr>
          <w:rFonts w:hint="default" w:ascii="Times New Roman" w:hAnsi="Times New Roman" w:cs="Times New Roman"/>
          <w:sz w:val="24"/>
        </w:rPr>
      </w:pPr>
      <w:r>
        <w:rPr>
          <w:rFonts w:hint="default" w:ascii="Times New Roman" w:hAnsi="Times New Roman" w:cs="Times New Roman"/>
          <w:sz w:val="24"/>
          <w:lang w:val="en-US" w:eastAsia="zh-CN"/>
        </w:rPr>
        <w:t>8.2</w:t>
      </w:r>
      <w:r>
        <w:rPr>
          <w:rFonts w:hint="default" w:ascii="Times New Roman" w:hAnsi="Times New Roman" w:cs="Times New Roman"/>
          <w:sz w:val="24"/>
        </w:rPr>
        <w:t>.1储存</w:t>
      </w:r>
    </w:p>
    <w:p w14:paraId="457D3EE7">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锰基新能源材料用电解金属锰产品入库应分批量在室内存放，避免与酸、碱等化学物品接触，防止潮湿。</w:t>
      </w:r>
    </w:p>
    <w:p w14:paraId="4038B14E">
      <w:pPr>
        <w:pStyle w:val="58"/>
        <w:tabs>
          <w:tab w:val="left" w:pos="744"/>
        </w:tabs>
        <w:spacing w:before="0" w:line="360" w:lineRule="auto"/>
        <w:ind w:left="0" w:firstLine="0"/>
        <w:jc w:val="left"/>
        <w:outlineLvl w:val="2"/>
        <w:rPr>
          <w:rFonts w:hint="default" w:ascii="Times New Roman" w:hAnsi="Times New Roman" w:cs="Times New Roman"/>
          <w:sz w:val="24"/>
        </w:rPr>
      </w:pPr>
      <w:r>
        <w:rPr>
          <w:rFonts w:hint="default" w:ascii="Times New Roman" w:hAnsi="Times New Roman" w:cs="Times New Roman"/>
          <w:sz w:val="24"/>
          <w:lang w:val="en-US" w:eastAsia="zh-CN"/>
        </w:rPr>
        <w:t>8.2</w:t>
      </w:r>
      <w:r>
        <w:rPr>
          <w:rFonts w:hint="default" w:ascii="Times New Roman" w:hAnsi="Times New Roman" w:cs="Times New Roman"/>
          <w:sz w:val="24"/>
        </w:rPr>
        <w:t>.2运输</w:t>
      </w:r>
    </w:p>
    <w:p w14:paraId="2D81642F">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锰基新能源材料用电解金属锰的运输宜用有盖车辆，如敞车发运时，需用帆布盖好，严防渗水，运输过程中应防止撞击。</w:t>
      </w:r>
    </w:p>
    <w:p w14:paraId="3043728B">
      <w:pPr>
        <w:pStyle w:val="58"/>
        <w:tabs>
          <w:tab w:val="left" w:pos="586"/>
        </w:tabs>
        <w:spacing w:before="0" w:line="360" w:lineRule="auto"/>
        <w:ind w:left="0" w:firstLine="0"/>
        <w:outlineLvl w:val="1"/>
        <w:rPr>
          <w:rFonts w:hint="default" w:ascii="Times New Roman" w:hAnsi="Times New Roman" w:cs="Times New Roman"/>
          <w:sz w:val="24"/>
        </w:rPr>
      </w:pPr>
      <w:r>
        <w:rPr>
          <w:rFonts w:hint="default" w:ascii="Times New Roman" w:hAnsi="Times New Roman" w:cs="Times New Roman"/>
          <w:sz w:val="24"/>
          <w:lang w:val="en-US" w:eastAsia="zh-CN"/>
        </w:rPr>
        <w:t>8.3</w:t>
      </w:r>
      <w:r>
        <w:rPr>
          <w:rFonts w:hint="default" w:ascii="Times New Roman" w:hAnsi="Times New Roman" w:cs="Times New Roman"/>
          <w:sz w:val="24"/>
        </w:rPr>
        <w:t>标志</w:t>
      </w:r>
      <w:r>
        <w:rPr>
          <w:rFonts w:hint="default" w:ascii="Times New Roman" w:hAnsi="Times New Roman" w:cs="Times New Roman"/>
          <w:sz w:val="24"/>
          <w:lang w:val="en-US" w:eastAsia="zh-CN"/>
        </w:rPr>
        <w:t>和</w:t>
      </w:r>
      <w:r>
        <w:rPr>
          <w:rFonts w:hint="default" w:ascii="Times New Roman" w:hAnsi="Times New Roman" w:cs="Times New Roman"/>
          <w:sz w:val="24"/>
        </w:rPr>
        <w:t>质量证明书</w:t>
      </w:r>
    </w:p>
    <w:p w14:paraId="5B8E4363">
      <w:pPr>
        <w:pStyle w:val="9"/>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锰基新能源材料用电解金属锰产品的标志和质量证明书应符合GB/T 3650的规定。</w:t>
      </w:r>
    </w:p>
    <w:p w14:paraId="11DAF4FD">
      <w:pPr>
        <w:spacing w:line="360" w:lineRule="auto"/>
        <w:rPr>
          <w:rFonts w:hint="default" w:ascii="Times New Roman" w:hAnsi="Times New Roman" w:cs="Times New Roman"/>
          <w:sz w:val="24"/>
        </w:rPr>
        <w:sectPr>
          <w:pgSz w:w="11911" w:h="16838"/>
          <w:pgMar w:top="1985" w:right="1417" w:bottom="1134" w:left="1417" w:header="1134" w:footer="1247" w:gutter="0"/>
          <w:pgNumType w:fmt="decimal"/>
          <w:cols w:space="0" w:num="1"/>
        </w:sectPr>
      </w:pPr>
    </w:p>
    <w:p w14:paraId="458DA04F">
      <w:pPr>
        <w:pStyle w:val="95"/>
        <w:numPr>
          <w:ilvl w:val="0"/>
          <w:numId w:val="0"/>
        </w:numPr>
        <w:spacing w:before="0" w:beforeLines="0" w:after="0" w:afterLines="0" w:line="360" w:lineRule="auto"/>
        <w:jc w:val="center"/>
        <w:outlineLvl w:val="0"/>
        <w:rPr>
          <w:rFonts w:hint="default" w:ascii="Times New Roman" w:hAnsi="Times New Roman" w:eastAsia="宋体" w:cs="Times New Roman"/>
          <w:b/>
          <w:sz w:val="24"/>
          <w:szCs w:val="24"/>
        </w:rPr>
      </w:pPr>
      <w:bookmarkStart w:id="55" w:name="_Toc30281"/>
      <w:bookmarkStart w:id="56" w:name="_Toc10018"/>
      <w:bookmarkStart w:id="57" w:name="_Toc5499"/>
      <w:bookmarkStart w:id="58" w:name="_Toc6187"/>
      <w:bookmarkStart w:id="59" w:name="_Toc27378"/>
      <w:r>
        <w:rPr>
          <w:rFonts w:hint="default" w:ascii="Times New Roman" w:hAnsi="Times New Roman" w:eastAsia="宋体" w:cs="Times New Roman"/>
          <w:b/>
          <w:sz w:val="24"/>
          <w:szCs w:val="24"/>
        </w:rPr>
        <w:t>附 录A</w:t>
      </w:r>
      <w:bookmarkEnd w:id="55"/>
      <w:bookmarkEnd w:id="56"/>
      <w:bookmarkEnd w:id="57"/>
      <w:bookmarkEnd w:id="58"/>
      <w:bookmarkEnd w:id="59"/>
    </w:p>
    <w:p w14:paraId="56318C84">
      <w:pPr>
        <w:pStyle w:val="9"/>
        <w:spacing w:line="360" w:lineRule="auto"/>
        <w:jc w:val="center"/>
        <w:rPr>
          <w:rFonts w:hint="default" w:ascii="Times New Roman" w:hAnsi="Times New Roman" w:cs="Times New Roman"/>
          <w:b/>
        </w:rPr>
      </w:pPr>
      <w:bookmarkStart w:id="60" w:name="_Toc10219"/>
      <w:r>
        <w:rPr>
          <w:rFonts w:hint="default" w:ascii="Times New Roman" w:hAnsi="Times New Roman" w:cs="Times New Roman"/>
          <w:b/>
          <w:sz w:val="24"/>
          <w:szCs w:val="24"/>
        </w:rPr>
        <w:t>（规范性）</w:t>
      </w:r>
      <w:bookmarkEnd w:id="60"/>
    </w:p>
    <w:p w14:paraId="683FB43B">
      <w:pPr>
        <w:pStyle w:val="95"/>
        <w:numPr>
          <w:ilvl w:val="0"/>
          <w:numId w:val="0"/>
        </w:numPr>
        <w:spacing w:before="0" w:beforeLines="0" w:after="0" w:afterLines="0" w:line="360" w:lineRule="auto"/>
        <w:jc w:val="center"/>
        <w:outlineLvl w:val="9"/>
        <w:rPr>
          <w:rFonts w:hint="default" w:ascii="Times New Roman" w:hAnsi="Times New Roman" w:eastAsia="宋体" w:cs="Times New Roman"/>
          <w:sz w:val="24"/>
          <w:szCs w:val="24"/>
        </w:rPr>
      </w:pPr>
      <w:r>
        <w:rPr>
          <w:rFonts w:hint="default" w:ascii="Times New Roman" w:hAnsi="Times New Roman" w:eastAsia="宋体" w:cs="Times New Roman"/>
          <w:b/>
          <w:bCs/>
          <w:kern w:val="2"/>
          <w:sz w:val="24"/>
          <w:szCs w:val="24"/>
        </w:rPr>
        <w:t>磷含量的测定</w:t>
      </w:r>
      <w:r>
        <w:rPr>
          <w:rFonts w:hint="default" w:ascii="Times New Roman" w:hAnsi="Times New Roman" w:eastAsia="宋体" w:cs="Times New Roman"/>
          <w:b/>
          <w:bCs/>
          <w:kern w:val="2"/>
          <w:sz w:val="24"/>
          <w:szCs w:val="24"/>
          <w:lang w:val="en-US" w:eastAsia="zh-CN"/>
        </w:rPr>
        <w:t xml:space="preserve"> </w:t>
      </w:r>
      <w:r>
        <w:rPr>
          <w:rFonts w:hint="default" w:ascii="Times New Roman" w:hAnsi="Times New Roman" w:eastAsia="宋体" w:cs="Times New Roman"/>
          <w:b/>
          <w:bCs/>
          <w:kern w:val="2"/>
          <w:sz w:val="24"/>
          <w:szCs w:val="24"/>
        </w:rPr>
        <w:t>铋磷钼蓝分光光度法</w:t>
      </w:r>
    </w:p>
    <w:p w14:paraId="517EDAB0">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A.1范围</w:t>
      </w:r>
    </w:p>
    <w:p w14:paraId="277F58A5">
      <w:pPr>
        <w:pStyle w:val="128"/>
        <w:numPr>
          <w:ilvl w:val="0"/>
          <w:numId w:val="0"/>
        </w:numPr>
        <w:snapToGrid w:val="0"/>
        <w:spacing w:line="360" w:lineRule="auto"/>
        <w:ind w:firstLine="420" w:firstLineChars="175"/>
        <w:contextualSpacing/>
        <w:jc w:val="left"/>
        <w:rPr>
          <w:rFonts w:hint="default" w:ascii="Times New Roman" w:hAnsi="Times New Roman" w:eastAsia="宋体" w:cs="Times New Roman"/>
          <w:kern w:val="2"/>
          <w:sz w:val="24"/>
          <w:szCs w:val="24"/>
          <w:lang w:val="en-US" w:eastAsia="zh-CN"/>
        </w:rPr>
      </w:pPr>
      <w:r>
        <w:rPr>
          <w:rFonts w:hint="default" w:ascii="Times New Roman" w:hAnsi="Times New Roman" w:cs="Times New Roman"/>
          <w:kern w:val="2"/>
          <w:sz w:val="24"/>
          <w:szCs w:val="24"/>
        </w:rPr>
        <w:t>本</w:t>
      </w:r>
      <w:r>
        <w:rPr>
          <w:rFonts w:hint="default" w:ascii="Times New Roman" w:hAnsi="Times New Roman" w:cs="Times New Roman"/>
          <w:kern w:val="2"/>
          <w:sz w:val="24"/>
          <w:szCs w:val="24"/>
          <w:lang w:val="en-US" w:eastAsia="zh-CN"/>
        </w:rPr>
        <w:t>附录规定了铋磷钼蓝分光光度法测量磷含量的方法原理、试剂及材料、分析步骤、分析结果的计算。</w:t>
      </w:r>
    </w:p>
    <w:p w14:paraId="58241C64">
      <w:pPr>
        <w:pStyle w:val="128"/>
        <w:numPr>
          <w:ilvl w:val="0"/>
          <w:numId w:val="0"/>
        </w:numPr>
        <w:snapToGrid w:val="0"/>
        <w:spacing w:line="360" w:lineRule="auto"/>
        <w:ind w:firstLine="420" w:firstLineChars="175"/>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lang w:val="en-US" w:eastAsia="zh-CN"/>
        </w:rPr>
        <w:t>本附录</w:t>
      </w:r>
      <w:r>
        <w:rPr>
          <w:rFonts w:hint="default" w:ascii="Times New Roman" w:hAnsi="Times New Roman" w:cs="Times New Roman"/>
          <w:kern w:val="2"/>
          <w:sz w:val="24"/>
          <w:szCs w:val="24"/>
        </w:rPr>
        <w:t>适用</w:t>
      </w:r>
      <w:r>
        <w:rPr>
          <w:rFonts w:hint="default" w:ascii="Times New Roman" w:hAnsi="Times New Roman" w:cs="Times New Roman"/>
          <w:kern w:val="2"/>
          <w:sz w:val="24"/>
          <w:szCs w:val="24"/>
          <w:lang w:val="en-US" w:eastAsia="zh-CN"/>
        </w:rPr>
        <w:t>于锰基新能源材料用电解金属锰中</w:t>
      </w:r>
      <w:r>
        <w:rPr>
          <w:rFonts w:hint="default" w:ascii="Times New Roman" w:hAnsi="Times New Roman" w:cs="Times New Roman"/>
          <w:kern w:val="2"/>
          <w:sz w:val="24"/>
          <w:szCs w:val="24"/>
        </w:rPr>
        <w:t>磷含量</w:t>
      </w:r>
      <w:r>
        <w:rPr>
          <w:rFonts w:hint="default" w:ascii="Times New Roman" w:hAnsi="Times New Roman" w:cs="Times New Roman"/>
          <w:kern w:val="2"/>
          <w:sz w:val="24"/>
          <w:szCs w:val="24"/>
          <w:lang w:val="en-US" w:eastAsia="zh-CN"/>
        </w:rPr>
        <w:t>的测定。测</w:t>
      </w:r>
      <w:r>
        <w:rPr>
          <w:rFonts w:hint="default" w:ascii="Times New Roman" w:hAnsi="Times New Roman" w:cs="Times New Roman"/>
          <w:sz w:val="24"/>
        </w:rPr>
        <w:t>定范围（质量分数,</w:t>
      </w:r>
      <w:r>
        <w:rPr>
          <w:rFonts w:hint="default" w:ascii="Times New Roman" w:hAnsi="Times New Roman" w:cs="Times New Roman"/>
          <w:sz w:val="24"/>
        </w:rPr>
        <w:t>ω</w:t>
      </w:r>
      <w:r>
        <w:rPr>
          <w:rFonts w:hint="default" w:ascii="Times New Roman" w:hAnsi="Times New Roman" w:cs="Times New Roman"/>
          <w:sz w:val="24"/>
        </w:rPr>
        <w:t>）≥0.0001%。</w:t>
      </w:r>
    </w:p>
    <w:p w14:paraId="2C4204A7">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A.</w:t>
      </w:r>
      <w:r>
        <w:rPr>
          <w:rFonts w:hint="default" w:ascii="Times New Roman" w:hAnsi="Times New Roman" w:cs="Times New Roman"/>
          <w:b/>
          <w:bCs/>
          <w:kern w:val="2"/>
          <w:sz w:val="24"/>
          <w:szCs w:val="24"/>
          <w:lang w:val="en-US" w:eastAsia="zh-CN"/>
        </w:rPr>
        <w:t>2</w:t>
      </w:r>
      <w:r>
        <w:rPr>
          <w:rFonts w:hint="default" w:ascii="Times New Roman" w:hAnsi="Times New Roman" w:cs="Times New Roman"/>
          <w:b/>
          <w:bCs/>
          <w:kern w:val="2"/>
          <w:sz w:val="24"/>
          <w:szCs w:val="24"/>
        </w:rPr>
        <w:t>方法原理</w:t>
      </w:r>
    </w:p>
    <w:p w14:paraId="67EAC3E1">
      <w:pPr>
        <w:pStyle w:val="24"/>
        <w:snapToGrid w:val="0"/>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试样以硝酸分解，加高氯酸蒸发至冒烟，使磷氧化成正磷酸。在硫酸介质中，用硫代硫酸钠还原高价砷，磷与硝酸铋，钼酸铵形成三元配合物。用抗坏血酸还原后，磷形成铋磷钼蓝，于分光光度计波长700nm处测量其吸光度，计算磷的质量分数。</w:t>
      </w:r>
    </w:p>
    <w:p w14:paraId="72E724A0">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A.</w:t>
      </w:r>
      <w:r>
        <w:rPr>
          <w:rFonts w:hint="default" w:ascii="Times New Roman" w:hAnsi="Times New Roman" w:cs="Times New Roman"/>
          <w:b/>
          <w:bCs/>
          <w:kern w:val="2"/>
          <w:sz w:val="24"/>
          <w:szCs w:val="24"/>
          <w:lang w:val="en-US" w:eastAsia="zh-CN"/>
        </w:rPr>
        <w:t>3</w:t>
      </w:r>
      <w:r>
        <w:rPr>
          <w:rFonts w:hint="default" w:ascii="Times New Roman" w:hAnsi="Times New Roman" w:cs="Times New Roman"/>
          <w:b/>
          <w:bCs/>
          <w:kern w:val="2"/>
          <w:sz w:val="24"/>
          <w:szCs w:val="24"/>
        </w:rPr>
        <w:t>试剂及材料</w:t>
      </w:r>
    </w:p>
    <w:p w14:paraId="6B7A0C5A">
      <w:pPr>
        <w:pStyle w:val="24"/>
        <w:snapToGrid w:val="0"/>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lang w:val="en-US" w:eastAsia="zh-CN"/>
        </w:rPr>
        <w:t>分析中</w:t>
      </w:r>
      <w:r>
        <w:rPr>
          <w:rFonts w:hint="default" w:ascii="Times New Roman" w:hAnsi="Times New Roman" w:cs="Times New Roman"/>
          <w:kern w:val="2"/>
          <w:sz w:val="24"/>
          <w:szCs w:val="24"/>
        </w:rPr>
        <w:t>所用试剂和水</w:t>
      </w:r>
      <w:r>
        <w:rPr>
          <w:rFonts w:hint="default" w:ascii="Times New Roman" w:hAnsi="Times New Roman" w:cs="Times New Roman"/>
          <w:kern w:val="2"/>
          <w:sz w:val="24"/>
          <w:szCs w:val="24"/>
          <w:lang w:eastAsia="zh-CN"/>
        </w:rPr>
        <w:t>，</w:t>
      </w:r>
      <w:r>
        <w:rPr>
          <w:rFonts w:hint="default" w:ascii="Times New Roman" w:hAnsi="Times New Roman" w:cs="Times New Roman"/>
          <w:kern w:val="2"/>
          <w:sz w:val="24"/>
          <w:szCs w:val="24"/>
        </w:rPr>
        <w:t>在没有注明其他要求时</w:t>
      </w:r>
      <w:r>
        <w:rPr>
          <w:rFonts w:hint="default" w:ascii="Times New Roman" w:hAnsi="Times New Roman" w:cs="Times New Roman"/>
          <w:kern w:val="2"/>
          <w:sz w:val="24"/>
          <w:szCs w:val="24"/>
          <w:lang w:eastAsia="zh-CN"/>
        </w:rPr>
        <w:t>，</w:t>
      </w:r>
      <w:r>
        <w:rPr>
          <w:rFonts w:hint="default" w:ascii="Times New Roman" w:hAnsi="Times New Roman" w:cs="Times New Roman"/>
          <w:kern w:val="2"/>
          <w:sz w:val="24"/>
          <w:szCs w:val="24"/>
        </w:rPr>
        <w:t>均指分析纯试剂和GB/T 6682中规定的三级水。</w:t>
      </w:r>
    </w:p>
    <w:p w14:paraId="1C189533">
      <w:pPr>
        <w:pStyle w:val="24"/>
        <w:snapToGrid w:val="0"/>
        <w:spacing w:line="360" w:lineRule="auto"/>
        <w:ind w:firstLine="0" w:firstLineChars="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.1 硝酸（ρ=1.42g/mL）</w:t>
      </w:r>
      <w:r>
        <w:rPr>
          <w:rFonts w:hint="default" w:ascii="Times New Roman" w:hAnsi="Times New Roman" w:cs="Times New Roman"/>
          <w:kern w:val="2"/>
          <w:sz w:val="24"/>
          <w:szCs w:val="24"/>
          <w:lang w:eastAsia="zh-CN"/>
        </w:rPr>
        <w:t>。</w:t>
      </w:r>
    </w:p>
    <w:p w14:paraId="13AB73B5">
      <w:pPr>
        <w:pStyle w:val="24"/>
        <w:snapToGrid w:val="0"/>
        <w:spacing w:line="360" w:lineRule="auto"/>
        <w:ind w:firstLine="0" w:firstLineChars="0"/>
        <w:contextualSpacing/>
        <w:jc w:val="left"/>
        <w:rPr>
          <w:rFonts w:hint="default" w:ascii="Times New Roman" w:hAnsi="Times New Roman" w:eastAsia="宋体" w:cs="Times New Roman"/>
          <w:kern w:val="2"/>
          <w:sz w:val="24"/>
          <w:szCs w:val="24"/>
          <w:lang w:eastAsia="zh-CN"/>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.2 高氯酸（ρ=1.67g/mL）</w:t>
      </w:r>
      <w:r>
        <w:rPr>
          <w:rFonts w:hint="default" w:ascii="Times New Roman" w:hAnsi="Times New Roman" w:cs="Times New Roman"/>
          <w:kern w:val="2"/>
          <w:sz w:val="24"/>
          <w:szCs w:val="24"/>
          <w:lang w:eastAsia="zh-CN"/>
        </w:rPr>
        <w:t>。</w:t>
      </w:r>
    </w:p>
    <w:p w14:paraId="2F5C2085">
      <w:pPr>
        <w:pStyle w:val="24"/>
        <w:snapToGrid w:val="0"/>
        <w:spacing w:line="360" w:lineRule="auto"/>
        <w:ind w:firstLine="0" w:firstLineChars="0"/>
        <w:contextualSpacing/>
        <w:jc w:val="left"/>
        <w:rPr>
          <w:rFonts w:hint="default" w:ascii="Times New Roman" w:hAnsi="Times New Roman" w:eastAsia="宋体" w:cs="Times New Roman"/>
          <w:kern w:val="2"/>
          <w:sz w:val="24"/>
          <w:szCs w:val="24"/>
          <w:lang w:eastAsia="zh-CN"/>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.3 硫酸（1+4）</w:t>
      </w:r>
      <w:r>
        <w:rPr>
          <w:rFonts w:hint="default" w:ascii="Times New Roman" w:hAnsi="Times New Roman" w:cs="Times New Roman"/>
          <w:kern w:val="2"/>
          <w:sz w:val="24"/>
          <w:szCs w:val="24"/>
          <w:lang w:eastAsia="zh-CN"/>
        </w:rPr>
        <w:t>。</w:t>
      </w:r>
    </w:p>
    <w:p w14:paraId="410C1363">
      <w:pPr>
        <w:pStyle w:val="24"/>
        <w:snapToGrid w:val="0"/>
        <w:spacing w:line="360" w:lineRule="auto"/>
        <w:ind w:firstLine="0" w:firstLineChars="0"/>
        <w:contextualSpacing/>
        <w:jc w:val="left"/>
        <w:rPr>
          <w:rFonts w:hint="default" w:ascii="Times New Roman" w:hAnsi="Times New Roman" w:eastAsia="宋体" w:cs="Times New Roman"/>
          <w:kern w:val="2"/>
          <w:sz w:val="24"/>
          <w:szCs w:val="24"/>
          <w:lang w:eastAsia="zh-CN"/>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.4 亚硫酸钠溶液（100g/L）</w:t>
      </w:r>
      <w:r>
        <w:rPr>
          <w:rFonts w:hint="default" w:ascii="Times New Roman" w:hAnsi="Times New Roman" w:cs="Times New Roman"/>
          <w:kern w:val="2"/>
          <w:sz w:val="24"/>
          <w:szCs w:val="24"/>
          <w:lang w:eastAsia="zh-CN"/>
        </w:rPr>
        <w:t>。</w:t>
      </w:r>
    </w:p>
    <w:p w14:paraId="046CED6E">
      <w:pPr>
        <w:pStyle w:val="24"/>
        <w:snapToGrid w:val="0"/>
        <w:spacing w:line="360" w:lineRule="auto"/>
        <w:ind w:firstLine="0" w:firstLineChars="0"/>
        <w:contextualSpacing/>
        <w:jc w:val="left"/>
        <w:rPr>
          <w:rFonts w:hint="default" w:ascii="Times New Roman" w:hAnsi="Times New Roman" w:eastAsia="宋体" w:cs="Times New Roman"/>
          <w:kern w:val="2"/>
          <w:sz w:val="24"/>
          <w:szCs w:val="24"/>
          <w:lang w:eastAsia="zh-CN"/>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.5 氢氧化钠溶液（250g/L）</w:t>
      </w:r>
      <w:r>
        <w:rPr>
          <w:rFonts w:hint="default" w:ascii="Times New Roman" w:hAnsi="Times New Roman" w:cs="Times New Roman"/>
          <w:kern w:val="2"/>
          <w:sz w:val="24"/>
          <w:szCs w:val="24"/>
          <w:lang w:eastAsia="zh-CN"/>
        </w:rPr>
        <w:t>。</w:t>
      </w:r>
    </w:p>
    <w:p w14:paraId="3AA26551">
      <w:pPr>
        <w:pStyle w:val="24"/>
        <w:snapToGrid w:val="0"/>
        <w:spacing w:line="360" w:lineRule="auto"/>
        <w:ind w:firstLine="0" w:firstLineChars="0"/>
        <w:contextualSpacing/>
        <w:jc w:val="left"/>
        <w:rPr>
          <w:rFonts w:hint="default" w:ascii="Times New Roman" w:hAnsi="Times New Roman" w:eastAsia="宋体" w:cs="Times New Roman"/>
          <w:kern w:val="2"/>
          <w:sz w:val="24"/>
          <w:szCs w:val="24"/>
          <w:lang w:eastAsia="zh-CN"/>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.6 硫代硫酸钠溶液（10g/L），称取1.0g硫代硫酸钠，2.0g无水亚硫酸钠，溶于100mL水中，混匀</w:t>
      </w:r>
      <w:r>
        <w:rPr>
          <w:rFonts w:hint="default" w:ascii="Times New Roman" w:hAnsi="Times New Roman" w:cs="Times New Roman"/>
          <w:kern w:val="2"/>
          <w:sz w:val="24"/>
          <w:szCs w:val="24"/>
          <w:lang w:eastAsia="zh-CN"/>
        </w:rPr>
        <w:t>。</w:t>
      </w:r>
    </w:p>
    <w:p w14:paraId="41A1383A">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.7 硝酸铋溶液（30g/L），称取30g硝酸铋[(Bi(NO</w:t>
      </w:r>
      <w:r>
        <w:rPr>
          <w:rFonts w:hint="default" w:ascii="Times New Roman" w:hAnsi="Times New Roman" w:cs="Times New Roman"/>
          <w:sz w:val="24"/>
          <w:vertAlign w:val="subscript"/>
        </w:rPr>
        <w:t>3</w:t>
      </w:r>
      <w:r>
        <w:rPr>
          <w:rFonts w:hint="default" w:ascii="Times New Roman" w:hAnsi="Times New Roman" w:cs="Times New Roman"/>
          <w:sz w:val="24"/>
        </w:rPr>
        <w:t>)</w:t>
      </w:r>
      <w:r>
        <w:rPr>
          <w:rFonts w:hint="default" w:ascii="Times New Roman" w:hAnsi="Times New Roman" w:cs="Times New Roman"/>
          <w:sz w:val="24"/>
          <w:vertAlign w:val="subscript"/>
        </w:rPr>
        <w:t>3</w:t>
      </w:r>
      <w:r>
        <w:rPr>
          <w:rFonts w:hint="default" w:ascii="Times New Roman" w:hAnsi="Times New Roman" w:cs="Times New Roman"/>
          <w:sz w:val="24"/>
        </w:rPr>
        <w:t>·5H</w:t>
      </w:r>
      <w:r>
        <w:rPr>
          <w:rFonts w:hint="default" w:ascii="Times New Roman" w:hAnsi="Times New Roman" w:cs="Times New Roman"/>
          <w:sz w:val="24"/>
          <w:vertAlign w:val="subscript"/>
        </w:rPr>
        <w:t>2</w:t>
      </w:r>
      <w:r>
        <w:rPr>
          <w:rFonts w:hint="default" w:ascii="Times New Roman" w:hAnsi="Times New Roman" w:cs="Times New Roman"/>
          <w:sz w:val="24"/>
        </w:rPr>
        <w:t>O]，溶解于100mL硝酸中，待完全溶解后，加入900mL水、4g尿素，混匀</w:t>
      </w:r>
      <w:r>
        <w:rPr>
          <w:rFonts w:hint="default" w:ascii="Times New Roman" w:hAnsi="Times New Roman" w:cs="Times New Roman"/>
          <w:sz w:val="24"/>
          <w:lang w:eastAsia="zh-CN"/>
        </w:rPr>
        <w:t>。</w:t>
      </w:r>
    </w:p>
    <w:p w14:paraId="348BCD39">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.8 钼酸铵溶液（30g/L），称取30g钼酸铵[(NH</w:t>
      </w:r>
      <w:r>
        <w:rPr>
          <w:rFonts w:hint="default" w:ascii="Times New Roman" w:hAnsi="Times New Roman" w:cs="Times New Roman"/>
          <w:sz w:val="24"/>
          <w:vertAlign w:val="subscript"/>
        </w:rPr>
        <w:t>4</w:t>
      </w:r>
      <w:r>
        <w:rPr>
          <w:rFonts w:hint="default" w:ascii="Times New Roman" w:hAnsi="Times New Roman" w:cs="Times New Roman"/>
          <w:sz w:val="24"/>
        </w:rPr>
        <w:t>)</w:t>
      </w:r>
      <w:r>
        <w:rPr>
          <w:rFonts w:hint="default" w:ascii="Times New Roman" w:hAnsi="Times New Roman" w:cs="Times New Roman"/>
          <w:sz w:val="24"/>
          <w:vertAlign w:val="subscript"/>
        </w:rPr>
        <w:t>6</w:t>
      </w:r>
      <w:r>
        <w:rPr>
          <w:rFonts w:hint="default" w:ascii="Times New Roman" w:hAnsi="Times New Roman" w:cs="Times New Roman"/>
          <w:sz w:val="24"/>
        </w:rPr>
        <w:t>Mo</w:t>
      </w:r>
      <w:r>
        <w:rPr>
          <w:rFonts w:hint="default" w:ascii="Times New Roman" w:hAnsi="Times New Roman" w:cs="Times New Roman"/>
          <w:sz w:val="24"/>
          <w:vertAlign w:val="subscript"/>
        </w:rPr>
        <w:t>7</w:t>
      </w:r>
      <w:r>
        <w:rPr>
          <w:rFonts w:hint="default" w:ascii="Times New Roman" w:hAnsi="Times New Roman" w:cs="Times New Roman"/>
          <w:sz w:val="24"/>
        </w:rPr>
        <w:t>O</w:t>
      </w:r>
      <w:r>
        <w:rPr>
          <w:rFonts w:hint="default" w:ascii="Times New Roman" w:hAnsi="Times New Roman" w:cs="Times New Roman"/>
          <w:sz w:val="24"/>
          <w:vertAlign w:val="subscript"/>
        </w:rPr>
        <w:t>24</w:t>
      </w:r>
      <w:r>
        <w:rPr>
          <w:rFonts w:hint="default" w:ascii="Times New Roman" w:hAnsi="Times New Roman" w:cs="Times New Roman"/>
          <w:sz w:val="24"/>
        </w:rPr>
        <w:t>·4H</w:t>
      </w:r>
      <w:r>
        <w:rPr>
          <w:rFonts w:hint="default" w:ascii="Times New Roman" w:hAnsi="Times New Roman" w:cs="Times New Roman"/>
          <w:sz w:val="24"/>
          <w:vertAlign w:val="subscript"/>
        </w:rPr>
        <w:t>2</w:t>
      </w:r>
      <w:r>
        <w:rPr>
          <w:rFonts w:hint="default" w:ascii="Times New Roman" w:hAnsi="Times New Roman" w:cs="Times New Roman"/>
          <w:sz w:val="24"/>
        </w:rPr>
        <w:t>O]，置于400mL烧杯中，加入300mL水，温热溶解，过滤后加入700mL水，混匀</w:t>
      </w:r>
      <w:r>
        <w:rPr>
          <w:rFonts w:hint="default" w:ascii="Times New Roman" w:hAnsi="Times New Roman" w:cs="Times New Roman"/>
          <w:sz w:val="24"/>
          <w:lang w:eastAsia="zh-CN"/>
        </w:rPr>
        <w:t>。</w:t>
      </w:r>
    </w:p>
    <w:p w14:paraId="145F313B">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.9 抗坏血酸溶液（10g/L），溶于乙醇溶液(V=1+1)中</w:t>
      </w:r>
      <w:r>
        <w:rPr>
          <w:rFonts w:hint="default" w:ascii="Times New Roman" w:hAnsi="Times New Roman" w:cs="Times New Roman"/>
          <w:sz w:val="24"/>
          <w:lang w:eastAsia="zh-CN"/>
        </w:rPr>
        <w:t>。</w:t>
      </w:r>
    </w:p>
    <w:p w14:paraId="614F2459">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.10 硫酸铁铵溶液（45g/L），称取22.5g硫酸铁铵[NH</w:t>
      </w:r>
      <w:r>
        <w:rPr>
          <w:rFonts w:hint="default" w:ascii="Times New Roman" w:hAnsi="Times New Roman" w:cs="Times New Roman"/>
          <w:sz w:val="24"/>
          <w:vertAlign w:val="subscript"/>
        </w:rPr>
        <w:t>4</w:t>
      </w:r>
      <w:r>
        <w:rPr>
          <w:rFonts w:hint="default" w:ascii="Times New Roman" w:hAnsi="Times New Roman" w:cs="Times New Roman"/>
          <w:sz w:val="24"/>
        </w:rPr>
        <w:t>Fe（SO</w:t>
      </w:r>
      <w:r>
        <w:rPr>
          <w:rFonts w:hint="default" w:ascii="Times New Roman" w:hAnsi="Times New Roman" w:cs="Times New Roman"/>
          <w:sz w:val="24"/>
          <w:vertAlign w:val="subscript"/>
        </w:rPr>
        <w:t>4</w:t>
      </w:r>
      <w:r>
        <w:rPr>
          <w:rFonts w:hint="default" w:ascii="Times New Roman" w:hAnsi="Times New Roman" w:cs="Times New Roman"/>
          <w:sz w:val="24"/>
        </w:rPr>
        <w:t>)</w:t>
      </w:r>
      <w:r>
        <w:rPr>
          <w:rFonts w:hint="default" w:ascii="Times New Roman" w:hAnsi="Times New Roman" w:cs="Times New Roman"/>
          <w:sz w:val="24"/>
          <w:vertAlign w:val="subscript"/>
        </w:rPr>
        <w:t>2</w:t>
      </w:r>
      <w:r>
        <w:rPr>
          <w:rFonts w:hint="default" w:ascii="Times New Roman" w:hAnsi="Times New Roman" w:cs="Times New Roman"/>
          <w:sz w:val="24"/>
        </w:rPr>
        <w:t>·12H</w:t>
      </w:r>
      <w:r>
        <w:rPr>
          <w:rFonts w:hint="default" w:ascii="Times New Roman" w:hAnsi="Times New Roman" w:cs="Times New Roman"/>
          <w:sz w:val="24"/>
          <w:vertAlign w:val="subscript"/>
        </w:rPr>
        <w:t>2</w:t>
      </w:r>
      <w:r>
        <w:rPr>
          <w:rFonts w:hint="default" w:ascii="Times New Roman" w:hAnsi="Times New Roman" w:cs="Times New Roman"/>
          <w:sz w:val="24"/>
        </w:rPr>
        <w:t>O]于250mL烧杯中，加入5mL硫酸(1+ 1)，用水溶解后移入500mL容量瓶中，以水稀释至刻度，混匀，此溶液1mL含铁约5mg</w:t>
      </w:r>
      <w:r>
        <w:rPr>
          <w:rFonts w:hint="default" w:ascii="Times New Roman" w:hAnsi="Times New Roman" w:cs="Times New Roman"/>
          <w:sz w:val="24"/>
          <w:lang w:eastAsia="zh-CN"/>
        </w:rPr>
        <w:t>。</w:t>
      </w:r>
    </w:p>
    <w:p w14:paraId="52F1D302">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.11 磷标准溶液，100μg/mL。移取1000μg/mL磷标准溶液10.00mL于100mL容量瓶中，用水稀至刻度，混匀。此溶液1mL含磷100μg</w:t>
      </w:r>
      <w:r>
        <w:rPr>
          <w:rFonts w:hint="default" w:ascii="Times New Roman" w:hAnsi="Times New Roman" w:cs="Times New Roman"/>
          <w:sz w:val="24"/>
          <w:lang w:eastAsia="zh-CN"/>
        </w:rPr>
        <w:t>。</w:t>
      </w:r>
    </w:p>
    <w:p w14:paraId="66DB80EF">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.12 磷标准溶液，10μg/mL。移取100μg/mL磷标准溶液10.00mL于100mL容量瓶中，用水稀释至刻度，混匀。此溶液1mL含磷10μg</w:t>
      </w:r>
      <w:r>
        <w:rPr>
          <w:rFonts w:hint="default" w:ascii="Times New Roman" w:hAnsi="Times New Roman" w:cs="Times New Roman"/>
          <w:sz w:val="24"/>
          <w:lang w:eastAsia="zh-CN"/>
        </w:rPr>
        <w:t>。</w:t>
      </w:r>
    </w:p>
    <w:p w14:paraId="62AF709E">
      <w:pPr>
        <w:spacing w:line="360" w:lineRule="auto"/>
        <w:jc w:val="left"/>
        <w:rPr>
          <w:rFonts w:hint="default" w:ascii="Times New Roman" w:hAnsi="Times New Roman" w:cs="Times New Roman"/>
          <w:sz w:val="24"/>
        </w:rPr>
      </w:pP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.13 磷标准溶液，2.5μg/mL。移取10μg/mL磷标准溶液25.00mL于100mL容量瓶中，用水稀释至刻度，混匀。此溶液1mL含磷2.5μg。</w:t>
      </w:r>
    </w:p>
    <w:p w14:paraId="519E2065">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A.</w:t>
      </w:r>
      <w:r>
        <w:rPr>
          <w:rFonts w:hint="default" w:ascii="Times New Roman" w:hAnsi="Times New Roman" w:cs="Times New Roman"/>
          <w:b/>
          <w:bCs/>
          <w:kern w:val="2"/>
          <w:sz w:val="24"/>
          <w:szCs w:val="24"/>
          <w:lang w:val="en-US" w:eastAsia="zh-CN"/>
        </w:rPr>
        <w:t>4</w:t>
      </w:r>
      <w:r>
        <w:rPr>
          <w:rFonts w:hint="default" w:ascii="Times New Roman" w:hAnsi="Times New Roman" w:cs="Times New Roman"/>
          <w:b/>
          <w:bCs/>
          <w:kern w:val="2"/>
          <w:sz w:val="24"/>
          <w:szCs w:val="24"/>
        </w:rPr>
        <w:t>分析步骤</w:t>
      </w:r>
    </w:p>
    <w:p w14:paraId="6FEC39ED">
      <w:pPr>
        <w:pStyle w:val="24"/>
        <w:snapToGrid w:val="0"/>
        <w:spacing w:line="360" w:lineRule="auto"/>
        <w:ind w:firstLine="0" w:firstLineChars="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4</w:t>
      </w:r>
      <w:r>
        <w:rPr>
          <w:rFonts w:hint="default" w:ascii="Times New Roman" w:hAnsi="Times New Roman" w:cs="Times New Roman"/>
          <w:kern w:val="2"/>
          <w:sz w:val="24"/>
          <w:szCs w:val="24"/>
        </w:rPr>
        <w:t>.1试样分解</w:t>
      </w:r>
    </w:p>
    <w:p w14:paraId="04245D03">
      <w:pPr>
        <w:pStyle w:val="24"/>
        <w:snapToGrid w:val="0"/>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称取试样2.0000g±0.0001g置于玻璃烧杯中，以少许水润湿试样，缓慢少量分次加入15mL硝酸（见A.4.1），加入8mL高氯酸（见A.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.2）放置电热板上加热至冒高氯酸烟开始至溶液呈咖啡色取下，稍冷，加入10mL亚硫酸钠溶液（见A.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.4）还原试液至澄清。用水吹洗杯壁调整体积至约30mL，滴加氢氧化钠溶液（见A.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.5）调至试液至中性且刚好出现沉淀，加入25mL硫酸（见A.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.3），加热溶解盐类。取下冷却至室温，移入100mL容量瓶中，用水稀释至刻度，混匀。</w:t>
      </w:r>
    </w:p>
    <w:p w14:paraId="4FB61E46">
      <w:pPr>
        <w:pStyle w:val="24"/>
        <w:snapToGrid w:val="0"/>
        <w:spacing w:line="360" w:lineRule="auto"/>
        <w:ind w:firstLine="0" w:firstLineChars="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4</w:t>
      </w:r>
      <w:r>
        <w:rPr>
          <w:rFonts w:hint="default" w:ascii="Times New Roman" w:hAnsi="Times New Roman" w:cs="Times New Roman"/>
          <w:kern w:val="2"/>
          <w:sz w:val="24"/>
          <w:szCs w:val="24"/>
        </w:rPr>
        <w:t>.2显色与测定</w:t>
      </w:r>
    </w:p>
    <w:p w14:paraId="42C70103">
      <w:pPr>
        <w:pStyle w:val="24"/>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移取20.00mL上述试液于50mL容量瓶中（每份试样中加5mL的磷标液（见A.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.13），加入5mL硫代硫酸钠溶液（见A.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.6）混匀，加入5mL硝酸铋溶液（见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.7</w:t>
      </w:r>
      <w:r>
        <w:rPr>
          <w:rFonts w:hint="default" w:ascii="Times New Roman" w:hAnsi="Times New Roman" w:cs="Times New Roman"/>
          <w:kern w:val="2"/>
          <w:sz w:val="24"/>
          <w:szCs w:val="24"/>
        </w:rPr>
        <w:t>）用水吹洗瓶壁，摇匀。加入5mL钼酸铵溶液（见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.8</w:t>
      </w:r>
      <w:r>
        <w:rPr>
          <w:rFonts w:hint="default" w:ascii="Times New Roman" w:hAnsi="Times New Roman" w:cs="Times New Roman"/>
          <w:kern w:val="2"/>
          <w:sz w:val="24"/>
          <w:szCs w:val="24"/>
        </w:rPr>
        <w:t>）用水吹洗瓶壁，摇匀，加入5mL抗坏血酸溶液（见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.9</w:t>
      </w:r>
      <w:r>
        <w:rPr>
          <w:rFonts w:hint="default" w:ascii="Times New Roman" w:hAnsi="Times New Roman" w:cs="Times New Roman"/>
          <w:kern w:val="2"/>
          <w:sz w:val="24"/>
          <w:szCs w:val="24"/>
        </w:rPr>
        <w:t>）混匀，以水稀释至刻度，混匀。静置15min。将试液移入3cm比色皿中，于分光度计波长700nm处，以水作参比调零，测定其吸光度，从校准曲线上查出相应的磷量（可根据样品吸光值或样品含量调整比色皿、标准溶液的浓度或移取体积）。</w:t>
      </w:r>
    </w:p>
    <w:p w14:paraId="3D28965E">
      <w:pPr>
        <w:pStyle w:val="24"/>
        <w:spacing w:line="360" w:lineRule="auto"/>
        <w:ind w:firstLine="0" w:firstLineChars="0"/>
        <w:contextualSpacing/>
        <w:jc w:val="left"/>
        <w:rPr>
          <w:rFonts w:hint="default" w:ascii="Times New Roman" w:hAnsi="Times New Roman" w:cs="Times New Roman"/>
          <w:kern w:val="2"/>
          <w:sz w:val="24"/>
          <w:szCs w:val="24"/>
        </w:rPr>
      </w:pPr>
      <w:bookmarkStart w:id="61" w:name="_Toc13511"/>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4</w:t>
      </w:r>
      <w:r>
        <w:rPr>
          <w:rFonts w:hint="default" w:ascii="Times New Roman" w:hAnsi="Times New Roman" w:cs="Times New Roman"/>
          <w:kern w:val="2"/>
          <w:sz w:val="24"/>
          <w:szCs w:val="24"/>
        </w:rPr>
        <w:t>.3校准曲线的绘制</w:t>
      </w:r>
      <w:bookmarkEnd w:id="61"/>
    </w:p>
    <w:p w14:paraId="0497E901">
      <w:pPr>
        <w:pStyle w:val="24"/>
        <w:widowControl w:val="0"/>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移取0.00mL、1.00mL、3.00mL、5.00mL、7.00mL、9.00mL磷标准溶液（见A.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.13），置于50mL容量瓶中，分别移入1mL硫酸铁铵溶液（见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.10</w:t>
      </w:r>
      <w:r>
        <w:rPr>
          <w:rFonts w:hint="default" w:ascii="Times New Roman" w:hAnsi="Times New Roman" w:cs="Times New Roman"/>
          <w:kern w:val="2"/>
          <w:sz w:val="24"/>
          <w:szCs w:val="24"/>
        </w:rPr>
        <w:t>），加5mL硫酸（见A.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.3），以水调整体积约20mL，加入5mL硫代硫酸钠溶液（见A.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.6），混匀，加入5mL硝酸铋溶液（见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.7</w:t>
      </w:r>
      <w:r>
        <w:rPr>
          <w:rFonts w:hint="default" w:ascii="Times New Roman" w:hAnsi="Times New Roman" w:cs="Times New Roman"/>
          <w:kern w:val="2"/>
          <w:sz w:val="24"/>
          <w:szCs w:val="24"/>
        </w:rPr>
        <w:t>）用水吹洗瓶壁，摇匀。加入5mL钼酸铵溶液（见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.8</w:t>
      </w:r>
      <w:r>
        <w:rPr>
          <w:rFonts w:hint="default" w:ascii="Times New Roman" w:hAnsi="Times New Roman" w:cs="Times New Roman"/>
          <w:kern w:val="2"/>
          <w:sz w:val="24"/>
          <w:szCs w:val="24"/>
        </w:rPr>
        <w:t>）用水吹洗瓶壁，摇匀，加入5mL抗坏血酸溶液（见</w:t>
      </w:r>
      <w:r>
        <w:rPr>
          <w:rFonts w:hint="default" w:ascii="Times New Roman" w:hAnsi="Times New Roman" w:cs="Times New Roman"/>
          <w:sz w:val="24"/>
        </w:rPr>
        <w:t>A.</w:t>
      </w:r>
      <w:r>
        <w:rPr>
          <w:rFonts w:hint="default" w:ascii="Times New Roman" w:hAnsi="Times New Roman" w:cs="Times New Roman"/>
          <w:sz w:val="24"/>
          <w:lang w:val="en-US" w:eastAsia="zh-CN"/>
        </w:rPr>
        <w:t>3</w:t>
      </w:r>
      <w:r>
        <w:rPr>
          <w:rFonts w:hint="default" w:ascii="Times New Roman" w:hAnsi="Times New Roman" w:cs="Times New Roman"/>
          <w:sz w:val="24"/>
        </w:rPr>
        <w:t>.9</w:t>
      </w:r>
      <w:r>
        <w:rPr>
          <w:rFonts w:hint="default" w:ascii="Times New Roman" w:hAnsi="Times New Roman" w:cs="Times New Roman"/>
          <w:kern w:val="2"/>
          <w:sz w:val="24"/>
          <w:szCs w:val="24"/>
        </w:rPr>
        <w:t>）混匀，以水稀释至刻度，混匀。静置15min。将试液移入3cm比色皿中，于分光光度计波长700nm处，以水为参比调零。测量其吸光度。以磷含量为横坐标，吸光度为纵坐标绘制工作曲线。</w:t>
      </w:r>
    </w:p>
    <w:p w14:paraId="1105F702">
      <w:pPr>
        <w:pStyle w:val="24"/>
        <w:snapToGrid w:val="0"/>
        <w:spacing w:line="360" w:lineRule="auto"/>
        <w:ind w:firstLine="0" w:firstLineChars="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A.</w:t>
      </w:r>
      <w:r>
        <w:rPr>
          <w:rFonts w:hint="default" w:ascii="Times New Roman" w:hAnsi="Times New Roman" w:cs="Times New Roman"/>
          <w:kern w:val="2"/>
          <w:sz w:val="24"/>
          <w:szCs w:val="24"/>
          <w:lang w:val="en-US" w:eastAsia="zh-CN"/>
        </w:rPr>
        <w:t>4</w:t>
      </w:r>
      <w:r>
        <w:rPr>
          <w:rFonts w:hint="default" w:ascii="Times New Roman" w:hAnsi="Times New Roman" w:cs="Times New Roman"/>
          <w:kern w:val="2"/>
          <w:sz w:val="24"/>
          <w:szCs w:val="24"/>
        </w:rPr>
        <w:t>.4空白试验</w:t>
      </w:r>
    </w:p>
    <w:p w14:paraId="0AF2DAC0">
      <w:pPr>
        <w:pStyle w:val="24"/>
        <w:snapToGrid w:val="0"/>
        <w:spacing w:line="360" w:lineRule="auto"/>
        <w:ind w:firstLine="48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同试样进行空白试验</w:t>
      </w:r>
    </w:p>
    <w:p w14:paraId="22EA1DBE">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A.</w:t>
      </w:r>
      <w:r>
        <w:rPr>
          <w:rFonts w:hint="default" w:ascii="Times New Roman" w:hAnsi="Times New Roman" w:cs="Times New Roman"/>
          <w:b/>
          <w:bCs/>
          <w:kern w:val="2"/>
          <w:sz w:val="24"/>
          <w:szCs w:val="24"/>
          <w:lang w:val="en-US" w:eastAsia="zh-CN"/>
        </w:rPr>
        <w:t>5</w:t>
      </w:r>
      <w:r>
        <w:rPr>
          <w:rFonts w:hint="default" w:ascii="Times New Roman" w:hAnsi="Times New Roman" w:cs="Times New Roman"/>
          <w:b/>
          <w:bCs/>
          <w:kern w:val="2"/>
          <w:sz w:val="24"/>
          <w:szCs w:val="24"/>
        </w:rPr>
        <w:t xml:space="preserve"> 分析结果的计算</w:t>
      </w:r>
    </w:p>
    <w:p w14:paraId="3611CA42">
      <w:pPr>
        <w:pStyle w:val="24"/>
        <w:snapToGrid w:val="0"/>
        <w:spacing w:line="360" w:lineRule="auto"/>
        <w:ind w:firstLine="360" w:firstLineChars="150"/>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计算试样中磷的含量ω，以质量分数(%)表示；</w:t>
      </w:r>
    </w:p>
    <w:p w14:paraId="688266A1">
      <w:pPr>
        <w:spacing w:line="360" w:lineRule="auto"/>
        <w:jc w:val="center"/>
        <w:rPr>
          <w:rFonts w:hint="default" w:ascii="Times New Roman" w:hAnsi="Times New Roman" w:eastAsia="宋体" w:cs="Times New Roman"/>
          <w:iCs/>
          <w:szCs w:val="36"/>
          <w:lang w:val="en-US" w:eastAsia="zh-CN"/>
        </w:rPr>
      </w:pPr>
      <w:r>
        <w:rPr>
          <w:rFonts w:hint="default" w:ascii="Times New Roman" w:hAnsi="Times New Roman" w:cs="Times New Roman"/>
          <w:b w:val="0"/>
          <w:i w:val="0"/>
          <w:sz w:val="28"/>
          <w:szCs w:val="48"/>
          <w:lang w:val="en-US" w:eastAsia="zh-CN"/>
        </w:rPr>
        <w:t xml:space="preserve">                 </w:t>
      </w:r>
      <m:oMath>
        <m:r>
          <m:rPr>
            <m:nor/>
          </m:rPr>
          <w:rPr>
            <w:rFonts w:hint="default" w:ascii="Times New Roman" w:hAnsi="Times New Roman" w:cs="Times New Roman"/>
            <w:i/>
            <w:sz w:val="28"/>
            <w:szCs w:val="48"/>
          </w:rPr>
          <m:t>ω</m:t>
        </m:r>
        <m:r>
          <m:rPr>
            <m:nor/>
            <m:sty m:val="p"/>
          </m:rPr>
          <w:rPr>
            <w:rFonts w:hint="default" w:ascii="Times New Roman" w:hAnsi="Times New Roman" w:cs="Times New Roman"/>
            <w:i w:val="0"/>
            <w:sz w:val="28"/>
            <w:szCs w:val="48"/>
          </w:rPr>
          <m:t>=</m:t>
        </m:r>
        <m:f>
          <m:fPr>
            <m:ctrlPr>
              <w:rPr>
                <w:rFonts w:hint="default" w:ascii="Cambria Math" w:hAnsi="Cambria Math" w:cs="Times New Roman"/>
                <w:i/>
                <w:iCs/>
                <w:sz w:val="28"/>
                <w:szCs w:val="48"/>
              </w:rPr>
            </m:ctrlPr>
          </m:fPr>
          <m:num>
            <m:d>
              <m:dPr>
                <m:ctrlPr>
                  <w:rPr>
                    <w:rFonts w:hint="default" w:ascii="Cambria Math" w:hAnsi="Cambria Math" w:cs="Times New Roman"/>
                    <w:i/>
                    <w:iCs/>
                    <w:sz w:val="28"/>
                    <w:szCs w:val="48"/>
                  </w:rPr>
                </m:ctrlPr>
              </m:dPr>
              <m:e>
                <m:sSub>
                  <m:sSubPr>
                    <m:ctrlPr>
                      <w:rPr>
                        <w:rFonts w:hint="default" w:ascii="Cambria Math" w:hAnsi="Cambria Math" w:cs="Times New Roman"/>
                        <w:i/>
                        <w:iCs/>
                        <w:sz w:val="28"/>
                        <w:szCs w:val="48"/>
                      </w:rPr>
                    </m:ctrlPr>
                  </m:sSubPr>
                  <m:e>
                    <m:r>
                      <m:rPr>
                        <m:nor/>
                      </m:rPr>
                      <w:rPr>
                        <w:rFonts w:hint="default" w:ascii="Times New Roman" w:hAnsi="Times New Roman" w:cs="Times New Roman"/>
                        <w:i/>
                        <w:sz w:val="28"/>
                        <w:szCs w:val="48"/>
                      </w:rPr>
                      <m:t>m</m:t>
                    </m:r>
                    <m:ctrlPr>
                      <w:rPr>
                        <w:rFonts w:hint="default" w:ascii="Cambria Math" w:hAnsi="Cambria Math" w:cs="Times New Roman"/>
                        <w:i/>
                        <w:iCs/>
                        <w:sz w:val="28"/>
                        <w:szCs w:val="48"/>
                      </w:rPr>
                    </m:ctrlPr>
                  </m:e>
                  <m:sub>
                    <m:r>
                      <m:rPr>
                        <m:nor/>
                        <m:sty m:val="p"/>
                      </m:rPr>
                      <w:rPr>
                        <w:rFonts w:hint="default" w:ascii="Times New Roman" w:hAnsi="Times New Roman" w:cs="Times New Roman"/>
                        <w:i w:val="0"/>
                        <w:sz w:val="28"/>
                        <w:szCs w:val="48"/>
                      </w:rPr>
                      <m:t>3</m:t>
                    </m:r>
                    <m:ctrlPr>
                      <w:rPr>
                        <w:rFonts w:hint="default" w:ascii="Cambria Math" w:hAnsi="Cambria Math" w:cs="Times New Roman"/>
                        <w:i/>
                        <w:iCs/>
                        <w:sz w:val="28"/>
                        <w:szCs w:val="48"/>
                      </w:rPr>
                    </m:ctrlPr>
                  </m:sub>
                </m:sSub>
                <m:r>
                  <m:rPr>
                    <m:nor/>
                    <m:sty m:val="p"/>
                  </m:rPr>
                  <w:rPr>
                    <w:rFonts w:hint="default" w:ascii="Times New Roman" w:hAnsi="Times New Roman" w:cs="Times New Roman"/>
                    <w:i w:val="0"/>
                    <w:sz w:val="28"/>
                    <w:szCs w:val="48"/>
                  </w:rPr>
                  <m:t>−</m:t>
                </m:r>
                <m:sSub>
                  <m:sSubPr>
                    <m:ctrlPr>
                      <w:rPr>
                        <w:rFonts w:hint="default" w:ascii="Cambria Math" w:hAnsi="Cambria Math" w:cs="Times New Roman"/>
                        <w:i/>
                        <w:iCs/>
                        <w:sz w:val="28"/>
                        <w:szCs w:val="48"/>
                      </w:rPr>
                    </m:ctrlPr>
                  </m:sSubPr>
                  <m:e>
                    <m:r>
                      <m:rPr>
                        <m:nor/>
                      </m:rPr>
                      <w:rPr>
                        <w:rFonts w:hint="default" w:ascii="Times New Roman" w:hAnsi="Times New Roman" w:cs="Times New Roman"/>
                        <w:i/>
                        <w:sz w:val="28"/>
                        <w:szCs w:val="48"/>
                      </w:rPr>
                      <m:t>m</m:t>
                    </m:r>
                    <m:ctrlPr>
                      <w:rPr>
                        <w:rFonts w:hint="default" w:ascii="Cambria Math" w:hAnsi="Cambria Math" w:cs="Times New Roman"/>
                        <w:i/>
                        <w:iCs/>
                        <w:sz w:val="28"/>
                        <w:szCs w:val="48"/>
                      </w:rPr>
                    </m:ctrlPr>
                  </m:e>
                  <m:sub>
                    <m:r>
                      <m:rPr>
                        <m:nor/>
                        <m:sty m:val="p"/>
                      </m:rPr>
                      <w:rPr>
                        <w:rFonts w:hint="default" w:ascii="Times New Roman" w:hAnsi="Times New Roman" w:cs="Times New Roman"/>
                        <w:i w:val="0"/>
                        <w:sz w:val="28"/>
                        <w:szCs w:val="48"/>
                      </w:rPr>
                      <m:t>1</m:t>
                    </m:r>
                    <m:ctrlPr>
                      <w:rPr>
                        <w:rFonts w:hint="default" w:ascii="Cambria Math" w:hAnsi="Cambria Math" w:cs="Times New Roman"/>
                        <w:i/>
                        <w:iCs/>
                        <w:sz w:val="28"/>
                        <w:szCs w:val="48"/>
                      </w:rPr>
                    </m:ctrlPr>
                  </m:sub>
                </m:sSub>
                <m:ctrlPr>
                  <w:rPr>
                    <w:rFonts w:hint="default" w:ascii="Cambria Math" w:hAnsi="Cambria Math" w:cs="Times New Roman"/>
                    <w:i/>
                    <w:iCs/>
                    <w:sz w:val="28"/>
                    <w:szCs w:val="48"/>
                  </w:rPr>
                </m:ctrlPr>
              </m:e>
            </m:d>
            <m:r>
              <m:rPr>
                <m:nor/>
                <m:sty m:val="p"/>
              </m:rPr>
              <w:rPr>
                <w:rFonts w:hint="default" w:ascii="Times New Roman" w:hAnsi="Times New Roman" w:cs="Times New Roman"/>
                <w:i w:val="0"/>
                <w:sz w:val="28"/>
                <w:szCs w:val="48"/>
              </w:rPr>
              <m:t>×</m:t>
            </m:r>
            <m:sSup>
              <m:sSupPr>
                <m:ctrlPr>
                  <w:rPr>
                    <w:rFonts w:hint="default" w:ascii="Cambria Math" w:hAnsi="Cambria Math" w:cs="Times New Roman"/>
                    <w:i/>
                    <w:iCs/>
                    <w:sz w:val="28"/>
                    <w:szCs w:val="48"/>
                  </w:rPr>
                </m:ctrlPr>
              </m:sSupPr>
              <m:e>
                <m:r>
                  <m:rPr>
                    <m:nor/>
                    <m:sty m:val="p"/>
                  </m:rPr>
                  <w:rPr>
                    <w:rFonts w:hint="default" w:ascii="Times New Roman" w:hAnsi="Times New Roman" w:cs="Times New Roman"/>
                    <w:i w:val="0"/>
                    <w:sz w:val="28"/>
                    <w:szCs w:val="48"/>
                  </w:rPr>
                  <m:t>10</m:t>
                </m:r>
                <m:ctrlPr>
                  <w:rPr>
                    <w:rFonts w:hint="default" w:ascii="Cambria Math" w:hAnsi="Cambria Math" w:cs="Times New Roman"/>
                    <w:i/>
                    <w:iCs/>
                    <w:sz w:val="28"/>
                    <w:szCs w:val="48"/>
                  </w:rPr>
                </m:ctrlPr>
              </m:e>
              <m:sup>
                <m:r>
                  <m:rPr>
                    <m:nor/>
                    <m:sty m:val="p"/>
                  </m:rPr>
                  <w:rPr>
                    <w:rFonts w:hint="default" w:ascii="Times New Roman" w:hAnsi="Times New Roman" w:cs="Times New Roman"/>
                    <w:i w:val="0"/>
                    <w:sz w:val="28"/>
                    <w:szCs w:val="48"/>
                  </w:rPr>
                  <m:t>−6</m:t>
                </m:r>
                <m:ctrlPr>
                  <w:rPr>
                    <w:rFonts w:hint="default" w:ascii="Cambria Math" w:hAnsi="Cambria Math" w:cs="Times New Roman"/>
                    <w:i/>
                    <w:iCs/>
                    <w:sz w:val="28"/>
                    <w:szCs w:val="48"/>
                  </w:rPr>
                </m:ctrlPr>
              </m:sup>
            </m:sSup>
            <m:ctrlPr>
              <w:rPr>
                <w:rFonts w:hint="default" w:ascii="Cambria Math" w:hAnsi="Cambria Math" w:cs="Times New Roman"/>
                <w:i/>
                <w:iCs/>
                <w:sz w:val="28"/>
                <w:szCs w:val="48"/>
              </w:rPr>
            </m:ctrlPr>
          </m:num>
          <m:den>
            <m:sSub>
              <m:sSubPr>
                <m:ctrlPr>
                  <w:rPr>
                    <w:rFonts w:hint="default" w:ascii="Cambria Math" w:hAnsi="Cambria Math" w:cs="Times New Roman"/>
                    <w:i/>
                    <w:iCs/>
                    <w:sz w:val="28"/>
                    <w:szCs w:val="48"/>
                  </w:rPr>
                </m:ctrlPr>
              </m:sSubPr>
              <m:e>
                <m:r>
                  <m:rPr>
                    <m:nor/>
                  </m:rPr>
                  <w:rPr>
                    <w:rFonts w:hint="default" w:ascii="Times New Roman" w:hAnsi="Times New Roman" w:cs="Times New Roman"/>
                    <w:i/>
                    <w:sz w:val="28"/>
                    <w:szCs w:val="48"/>
                  </w:rPr>
                  <m:t>m</m:t>
                </m:r>
                <m:ctrlPr>
                  <w:rPr>
                    <w:rFonts w:hint="default" w:ascii="Cambria Math" w:hAnsi="Cambria Math" w:cs="Times New Roman"/>
                    <w:i/>
                    <w:iCs/>
                    <w:sz w:val="28"/>
                    <w:szCs w:val="48"/>
                  </w:rPr>
                </m:ctrlPr>
              </m:e>
              <m:sub>
                <m:r>
                  <m:rPr>
                    <m:nor/>
                    <m:sty m:val="p"/>
                  </m:rPr>
                  <w:rPr>
                    <w:rFonts w:hint="default" w:ascii="Times New Roman" w:hAnsi="Times New Roman" w:cs="Times New Roman"/>
                    <w:i w:val="0"/>
                    <w:sz w:val="28"/>
                    <w:szCs w:val="48"/>
                  </w:rPr>
                  <m:t>2</m:t>
                </m:r>
                <m:ctrlPr>
                  <w:rPr>
                    <w:rFonts w:hint="default" w:ascii="Cambria Math" w:hAnsi="Cambria Math" w:cs="Times New Roman"/>
                    <w:i/>
                    <w:iCs/>
                    <w:sz w:val="28"/>
                    <w:szCs w:val="48"/>
                  </w:rPr>
                </m:ctrlPr>
              </m:sub>
            </m:sSub>
            <m:r>
              <m:rPr>
                <m:nor/>
                <m:sty m:val="p"/>
              </m:rPr>
              <w:rPr>
                <w:rFonts w:hint="default" w:ascii="Times New Roman" w:hAnsi="Times New Roman" w:cs="Times New Roman"/>
                <w:i w:val="0"/>
                <w:sz w:val="28"/>
                <w:szCs w:val="48"/>
              </w:rPr>
              <m:t>×</m:t>
            </m:r>
            <m:f>
              <m:fPr>
                <m:ctrlPr>
                  <w:rPr>
                    <w:rFonts w:hint="default" w:ascii="Cambria Math" w:hAnsi="Cambria Math" w:cs="Times New Roman"/>
                    <w:i/>
                    <w:iCs/>
                    <w:sz w:val="28"/>
                    <w:szCs w:val="48"/>
                  </w:rPr>
                </m:ctrlPr>
              </m:fPr>
              <m:num>
                <m:sSub>
                  <m:sSubPr>
                    <m:ctrlPr>
                      <w:rPr>
                        <w:rFonts w:hint="default" w:ascii="Cambria Math" w:hAnsi="Cambria Math" w:cs="Times New Roman"/>
                        <w:i/>
                        <w:iCs/>
                        <w:sz w:val="28"/>
                        <w:szCs w:val="48"/>
                      </w:rPr>
                    </m:ctrlPr>
                  </m:sSubPr>
                  <m:e>
                    <m:r>
                      <m:rPr>
                        <m:nor/>
                      </m:rPr>
                      <w:rPr>
                        <w:rFonts w:hint="default" w:ascii="Times New Roman" w:hAnsi="Times New Roman" w:cs="Times New Roman"/>
                        <w:i/>
                        <w:sz w:val="28"/>
                        <w:szCs w:val="48"/>
                      </w:rPr>
                      <m:t>V</m:t>
                    </m:r>
                    <m:ctrlPr>
                      <w:rPr>
                        <w:rFonts w:hint="default" w:ascii="Cambria Math" w:hAnsi="Cambria Math" w:cs="Times New Roman"/>
                        <w:i/>
                        <w:iCs/>
                        <w:sz w:val="28"/>
                        <w:szCs w:val="48"/>
                      </w:rPr>
                    </m:ctrlPr>
                  </m:e>
                  <m:sub>
                    <m:r>
                      <m:rPr>
                        <m:nor/>
                        <m:sty m:val="p"/>
                      </m:rPr>
                      <w:rPr>
                        <w:rFonts w:hint="default" w:ascii="Times New Roman" w:hAnsi="Times New Roman" w:cs="Times New Roman"/>
                        <w:i w:val="0"/>
                        <w:sz w:val="28"/>
                        <w:szCs w:val="48"/>
                      </w:rPr>
                      <m:t>3</m:t>
                    </m:r>
                    <m:ctrlPr>
                      <w:rPr>
                        <w:rFonts w:hint="default" w:ascii="Cambria Math" w:hAnsi="Cambria Math" w:cs="Times New Roman"/>
                        <w:i/>
                        <w:iCs/>
                        <w:sz w:val="28"/>
                        <w:szCs w:val="48"/>
                      </w:rPr>
                    </m:ctrlPr>
                  </m:sub>
                </m:sSub>
                <m:ctrlPr>
                  <w:rPr>
                    <w:rFonts w:hint="default" w:ascii="Cambria Math" w:hAnsi="Cambria Math" w:cs="Times New Roman"/>
                    <w:i/>
                    <w:iCs/>
                    <w:sz w:val="28"/>
                    <w:szCs w:val="48"/>
                  </w:rPr>
                </m:ctrlPr>
              </m:num>
              <m:den>
                <m:sSub>
                  <m:sSubPr>
                    <m:ctrlPr>
                      <w:rPr>
                        <w:rFonts w:hint="default" w:ascii="Cambria Math" w:hAnsi="Cambria Math" w:cs="Times New Roman"/>
                        <w:i/>
                        <w:iCs/>
                        <w:sz w:val="28"/>
                        <w:szCs w:val="48"/>
                      </w:rPr>
                    </m:ctrlPr>
                  </m:sSubPr>
                  <m:e>
                    <m:r>
                      <m:rPr>
                        <m:nor/>
                      </m:rPr>
                      <w:rPr>
                        <w:rFonts w:hint="default" w:ascii="Times New Roman" w:hAnsi="Times New Roman" w:cs="Times New Roman"/>
                        <w:i/>
                        <w:sz w:val="28"/>
                        <w:szCs w:val="48"/>
                      </w:rPr>
                      <m:t>V</m:t>
                    </m:r>
                    <m:ctrlPr>
                      <w:rPr>
                        <w:rFonts w:hint="default" w:ascii="Cambria Math" w:hAnsi="Cambria Math" w:cs="Times New Roman"/>
                        <w:i/>
                        <w:iCs/>
                        <w:sz w:val="28"/>
                        <w:szCs w:val="48"/>
                      </w:rPr>
                    </m:ctrlPr>
                  </m:e>
                  <m:sub>
                    <m:r>
                      <m:rPr>
                        <m:nor/>
                        <m:sty m:val="p"/>
                      </m:rPr>
                      <w:rPr>
                        <w:rFonts w:hint="default" w:ascii="Times New Roman" w:hAnsi="Times New Roman" w:cs="Times New Roman"/>
                        <w:i w:val="0"/>
                        <w:sz w:val="28"/>
                        <w:szCs w:val="48"/>
                      </w:rPr>
                      <m:t>2</m:t>
                    </m:r>
                    <m:ctrlPr>
                      <w:rPr>
                        <w:rFonts w:hint="default" w:ascii="Cambria Math" w:hAnsi="Cambria Math" w:cs="Times New Roman"/>
                        <w:i/>
                        <w:iCs/>
                        <w:sz w:val="28"/>
                        <w:szCs w:val="48"/>
                      </w:rPr>
                    </m:ctrlPr>
                  </m:sub>
                </m:sSub>
                <m:ctrlPr>
                  <w:rPr>
                    <w:rFonts w:hint="default" w:ascii="Cambria Math" w:hAnsi="Cambria Math" w:cs="Times New Roman"/>
                    <w:i/>
                    <w:iCs/>
                    <w:sz w:val="28"/>
                    <w:szCs w:val="48"/>
                  </w:rPr>
                </m:ctrlPr>
              </m:den>
            </m:f>
            <m:ctrlPr>
              <w:rPr>
                <w:rFonts w:hint="default" w:ascii="Cambria Math" w:hAnsi="Cambria Math" w:cs="Times New Roman"/>
                <w:i/>
                <w:iCs/>
                <w:sz w:val="28"/>
                <w:szCs w:val="48"/>
              </w:rPr>
            </m:ctrlPr>
          </m:den>
        </m:f>
        <m:r>
          <m:rPr>
            <m:nor/>
            <m:sty m:val="p"/>
          </m:rPr>
          <w:rPr>
            <w:rFonts w:hint="default" w:ascii="Times New Roman" w:hAnsi="Times New Roman" w:cs="Times New Roman"/>
            <w:b w:val="0"/>
            <w:i w:val="0"/>
            <w:sz w:val="28"/>
            <w:szCs w:val="48"/>
          </w:rPr>
          <m:t>×100%</m:t>
        </m:r>
      </m:oMath>
      <w:r>
        <w:rPr>
          <w:rFonts w:hint="default" w:ascii="Times New Roman" w:hAnsi="Times New Roman" w:cs="Times New Roman"/>
          <w:b w:val="0"/>
          <w:i w:val="0"/>
          <w:sz w:val="28"/>
          <w:szCs w:val="48"/>
          <w:lang w:val="en-US" w:eastAsia="zh-CN"/>
        </w:rPr>
        <w:t xml:space="preserve"> </w:t>
      </w:r>
      <w:r>
        <w:rPr>
          <w:rFonts w:hint="default" w:ascii="Times New Roman" w:hAnsi="Times New Roman" w:cs="Times New Roman"/>
          <w:b w:val="0"/>
          <w:i w:val="0"/>
          <w:szCs w:val="36"/>
          <w:lang w:val="en-US" w:eastAsia="zh-CN"/>
        </w:rPr>
        <w:t xml:space="preserve">                     （A.1）</w:t>
      </w:r>
    </w:p>
    <w:p w14:paraId="4601DEF6">
      <w:pPr>
        <w:pStyle w:val="24"/>
        <w:snapToGrid w:val="0"/>
        <w:spacing w:line="360" w:lineRule="auto"/>
        <w:contextualSpacing/>
        <w:jc w:val="left"/>
        <w:rPr>
          <w:rFonts w:hint="eastAsia" w:ascii="Times New Roman" w:cs="Times New Roman"/>
          <w:kern w:val="2"/>
          <w:sz w:val="24"/>
          <w:szCs w:val="24"/>
          <w:lang w:val="en-US" w:eastAsia="zh-CN"/>
        </w:rPr>
      </w:pPr>
      <w:r>
        <w:rPr>
          <w:rFonts w:hint="default" w:ascii="Times New Roman" w:hAnsi="Times New Roman" w:cs="Times New Roman"/>
          <w:kern w:val="2"/>
          <w:sz w:val="24"/>
          <w:szCs w:val="24"/>
        </w:rPr>
        <w:t>式中</w:t>
      </w:r>
      <w:r>
        <w:rPr>
          <w:rFonts w:hint="eastAsia" w:ascii="Times New Roman" w:cs="Times New Roman"/>
          <w:kern w:val="2"/>
          <w:sz w:val="24"/>
          <w:szCs w:val="24"/>
          <w:lang w:val="en-US" w:eastAsia="zh-CN"/>
        </w:rPr>
        <w:t>：</w:t>
      </w:r>
    </w:p>
    <w:p w14:paraId="219FCCDF">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3</w:t>
      </w:r>
      <w:r>
        <w:rPr>
          <w:rFonts w:hint="default" w:ascii="Times New Roman" w:hAnsi="Times New Roman" w:cs="Times New Roman"/>
          <w:kern w:val="2"/>
          <w:sz w:val="24"/>
          <w:szCs w:val="24"/>
        </w:rPr>
        <w:t>—从校准曲线上查得的磷量，单位为微克（μg）；</w:t>
      </w:r>
    </w:p>
    <w:p w14:paraId="488A3F39">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1</w:t>
      </w:r>
      <w:r>
        <w:rPr>
          <w:rFonts w:hint="default" w:ascii="Times New Roman" w:hAnsi="Times New Roman" w:cs="Times New Roman"/>
          <w:kern w:val="2"/>
          <w:sz w:val="24"/>
          <w:szCs w:val="24"/>
        </w:rPr>
        <w:t>—加入5mL的磷标液（见A.</w:t>
      </w:r>
      <w:r>
        <w:rPr>
          <w:rFonts w:hint="default" w:ascii="Times New Roman" w:hAnsi="Times New Roman" w:cs="Times New Roman"/>
          <w:kern w:val="2"/>
          <w:sz w:val="24"/>
          <w:szCs w:val="24"/>
          <w:lang w:val="en-US" w:eastAsia="zh-CN"/>
        </w:rPr>
        <w:t>3</w:t>
      </w:r>
      <w:r>
        <w:rPr>
          <w:rFonts w:hint="default" w:ascii="Times New Roman" w:hAnsi="Times New Roman" w:cs="Times New Roman"/>
          <w:kern w:val="2"/>
          <w:sz w:val="24"/>
          <w:szCs w:val="24"/>
        </w:rPr>
        <w:t>.13）的磷量，单位为微克（μg）；</w:t>
      </w:r>
    </w:p>
    <w:p w14:paraId="0308E526">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2</w:t>
      </w:r>
      <w:r>
        <w:rPr>
          <w:rFonts w:hint="default" w:ascii="Times New Roman" w:hAnsi="Times New Roman" w:cs="Times New Roman"/>
          <w:kern w:val="2"/>
          <w:sz w:val="24"/>
          <w:szCs w:val="24"/>
        </w:rPr>
        <w:t>—试样量，单位为克（g）；</w:t>
      </w:r>
    </w:p>
    <w:p w14:paraId="3D648FD8">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V</w:t>
      </w:r>
      <w:r>
        <w:rPr>
          <w:rFonts w:hint="default" w:ascii="Times New Roman" w:hAnsi="Times New Roman" w:cs="Times New Roman"/>
          <w:i/>
          <w:iCs/>
          <w:kern w:val="2"/>
          <w:sz w:val="24"/>
          <w:szCs w:val="24"/>
          <w:vertAlign w:val="subscript"/>
        </w:rPr>
        <w:t>3</w:t>
      </w:r>
      <w:r>
        <w:rPr>
          <w:rFonts w:hint="default" w:ascii="Times New Roman" w:hAnsi="Times New Roman" w:cs="Times New Roman"/>
          <w:kern w:val="2"/>
          <w:sz w:val="24"/>
          <w:szCs w:val="24"/>
        </w:rPr>
        <w:t>—分取试液的体积，单位为毫升（mL）；</w:t>
      </w:r>
    </w:p>
    <w:p w14:paraId="6425CDF5">
      <w:pPr>
        <w:pStyle w:val="24"/>
        <w:snapToGrid w:val="0"/>
        <w:spacing w:line="360" w:lineRule="auto"/>
        <w:contextualSpacing/>
        <w:jc w:val="left"/>
        <w:rPr>
          <w:rFonts w:hint="default" w:ascii="Times New Roman" w:hAnsi="Times New Roman" w:cs="Times New Roman"/>
          <w:kern w:val="2"/>
          <w:sz w:val="24"/>
          <w:szCs w:val="24"/>
        </w:rPr>
      </w:pPr>
      <w:bookmarkStart w:id="85" w:name="_GoBack"/>
      <w:bookmarkEnd w:id="85"/>
      <w:r>
        <w:rPr>
          <w:rFonts w:hint="default" w:ascii="Times New Roman" w:hAnsi="Times New Roman" w:cs="Times New Roman"/>
          <w:i/>
          <w:iCs/>
          <w:kern w:val="2"/>
          <w:sz w:val="24"/>
          <w:szCs w:val="24"/>
        </w:rPr>
        <w:t>V</w:t>
      </w:r>
      <w:r>
        <w:rPr>
          <w:rFonts w:hint="default" w:ascii="Times New Roman" w:hAnsi="Times New Roman" w:cs="Times New Roman"/>
          <w:i/>
          <w:iCs/>
          <w:kern w:val="2"/>
          <w:sz w:val="24"/>
          <w:szCs w:val="24"/>
          <w:vertAlign w:val="subscript"/>
        </w:rPr>
        <w:t>2</w:t>
      </w:r>
      <w:r>
        <w:rPr>
          <w:rFonts w:hint="default" w:ascii="Times New Roman" w:hAnsi="Times New Roman" w:cs="Times New Roman"/>
          <w:kern w:val="2"/>
          <w:sz w:val="24"/>
          <w:szCs w:val="24"/>
        </w:rPr>
        <w:t xml:space="preserve">—试液的总体积，单位为毫升（mL）。            </w:t>
      </w:r>
    </w:p>
    <w:p w14:paraId="5699D9EF">
      <w:pPr>
        <w:pStyle w:val="9"/>
        <w:spacing w:line="360" w:lineRule="auto"/>
        <w:jc w:val="left"/>
        <w:rPr>
          <w:rFonts w:hint="default" w:ascii="Times New Roman" w:hAnsi="Times New Roman" w:cs="Times New Roman"/>
          <w:sz w:val="24"/>
          <w:szCs w:val="24"/>
        </w:rPr>
        <w:sectPr>
          <w:headerReference r:id="rId8" w:type="default"/>
          <w:footerReference r:id="rId9" w:type="default"/>
          <w:pgSz w:w="11911" w:h="16838"/>
          <w:pgMar w:top="1134" w:right="1417" w:bottom="1134" w:left="1417" w:header="1134" w:footer="850" w:gutter="0"/>
          <w:pgNumType w:fmt="decimal"/>
          <w:cols w:space="0" w:num="1"/>
          <w:formProt w:val="0"/>
          <w:docGrid w:linePitch="312" w:charSpace="0"/>
        </w:sectPr>
      </w:pPr>
      <w:bookmarkStart w:id="62" w:name="_Toc25407"/>
    </w:p>
    <w:p w14:paraId="1C347321">
      <w:pPr>
        <w:pStyle w:val="9"/>
        <w:spacing w:line="360" w:lineRule="auto"/>
        <w:jc w:val="center"/>
        <w:outlineLvl w:val="0"/>
        <w:rPr>
          <w:rFonts w:hint="default" w:ascii="Times New Roman" w:hAnsi="Times New Roman" w:cs="Times New Roman"/>
          <w:b/>
          <w:sz w:val="24"/>
          <w:szCs w:val="24"/>
        </w:rPr>
      </w:pPr>
      <w:bookmarkStart w:id="63" w:name="_Toc18884"/>
      <w:bookmarkStart w:id="64" w:name="_Toc21341"/>
      <w:bookmarkStart w:id="65" w:name="_Toc31062"/>
      <w:bookmarkStart w:id="66" w:name="_Toc8012"/>
      <w:r>
        <w:rPr>
          <w:rFonts w:hint="default" w:ascii="Times New Roman" w:hAnsi="Times New Roman" w:cs="Times New Roman"/>
          <w:b/>
          <w:sz w:val="24"/>
          <w:szCs w:val="24"/>
        </w:rPr>
        <w:t>附 录B</w:t>
      </w:r>
      <w:bookmarkEnd w:id="63"/>
      <w:bookmarkEnd w:id="64"/>
      <w:bookmarkEnd w:id="65"/>
      <w:bookmarkEnd w:id="66"/>
    </w:p>
    <w:p w14:paraId="60893DC2">
      <w:pPr>
        <w:pStyle w:val="9"/>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（规范性）</w:t>
      </w:r>
    </w:p>
    <w:p w14:paraId="06761FAF">
      <w:pPr>
        <w:pStyle w:val="9"/>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硅含量的测定</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钼蓝分光光度法</w:t>
      </w:r>
      <w:bookmarkEnd w:id="62"/>
    </w:p>
    <w:p w14:paraId="44C4477F">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B.1范围</w:t>
      </w:r>
    </w:p>
    <w:p w14:paraId="27B095FB">
      <w:pPr>
        <w:pStyle w:val="128"/>
        <w:numPr>
          <w:ilvl w:val="0"/>
          <w:numId w:val="0"/>
        </w:numPr>
        <w:snapToGrid w:val="0"/>
        <w:spacing w:line="360" w:lineRule="auto"/>
        <w:ind w:firstLine="420" w:firstLineChars="175"/>
        <w:contextualSpacing/>
        <w:jc w:val="left"/>
        <w:rPr>
          <w:rFonts w:hint="default" w:ascii="Times New Roman" w:hAnsi="Times New Roman" w:eastAsia="宋体" w:cs="Times New Roman"/>
          <w:kern w:val="2"/>
          <w:sz w:val="24"/>
          <w:szCs w:val="24"/>
          <w:lang w:val="en-US" w:eastAsia="zh-CN"/>
        </w:rPr>
      </w:pPr>
      <w:r>
        <w:rPr>
          <w:rFonts w:hint="default" w:ascii="Times New Roman" w:hAnsi="Times New Roman" w:cs="Times New Roman"/>
          <w:kern w:val="2"/>
          <w:sz w:val="24"/>
          <w:szCs w:val="24"/>
        </w:rPr>
        <w:t>本</w:t>
      </w:r>
      <w:r>
        <w:rPr>
          <w:rFonts w:hint="default" w:ascii="Times New Roman" w:hAnsi="Times New Roman" w:cs="Times New Roman"/>
          <w:kern w:val="2"/>
          <w:sz w:val="24"/>
          <w:szCs w:val="24"/>
          <w:lang w:val="en-US" w:eastAsia="zh-CN"/>
        </w:rPr>
        <w:t>附录规定了钼蓝分光光度法测量硅含量的方法原理、试剂及材料、分析步骤、分析结果的计算。</w:t>
      </w:r>
    </w:p>
    <w:p w14:paraId="20B78F0F">
      <w:pPr>
        <w:pStyle w:val="128"/>
        <w:numPr>
          <w:ilvl w:val="0"/>
          <w:numId w:val="0"/>
        </w:numPr>
        <w:snapToGrid w:val="0"/>
        <w:spacing w:line="360" w:lineRule="auto"/>
        <w:ind w:firstLine="420" w:firstLineChars="175"/>
        <w:contextualSpacing/>
        <w:jc w:val="left"/>
        <w:rPr>
          <w:rFonts w:hint="default" w:ascii="Times New Roman" w:hAnsi="Times New Roman" w:cs="Times New Roman"/>
          <w:sz w:val="24"/>
        </w:rPr>
      </w:pPr>
      <w:r>
        <w:rPr>
          <w:rFonts w:hint="default" w:ascii="Times New Roman" w:hAnsi="Times New Roman" w:cs="Times New Roman"/>
          <w:kern w:val="2"/>
          <w:sz w:val="24"/>
          <w:szCs w:val="24"/>
          <w:lang w:val="en-US" w:eastAsia="zh-CN"/>
        </w:rPr>
        <w:t>本附录</w:t>
      </w:r>
      <w:r>
        <w:rPr>
          <w:rFonts w:hint="default" w:ascii="Times New Roman" w:hAnsi="Times New Roman" w:cs="Times New Roman"/>
          <w:kern w:val="2"/>
          <w:sz w:val="24"/>
          <w:szCs w:val="24"/>
        </w:rPr>
        <w:t>适用</w:t>
      </w:r>
      <w:r>
        <w:rPr>
          <w:rFonts w:hint="default" w:ascii="Times New Roman" w:hAnsi="Times New Roman" w:cs="Times New Roman"/>
          <w:kern w:val="2"/>
          <w:sz w:val="24"/>
          <w:szCs w:val="24"/>
          <w:lang w:val="en-US" w:eastAsia="zh-CN"/>
        </w:rPr>
        <w:t>于锰基新能源材料用电解金属锰中</w:t>
      </w:r>
      <w:r>
        <w:rPr>
          <w:rFonts w:hint="default" w:ascii="Times New Roman" w:hAnsi="Times New Roman" w:cs="Times New Roman"/>
          <w:kern w:val="2"/>
          <w:sz w:val="24"/>
          <w:szCs w:val="24"/>
        </w:rPr>
        <w:t>硅含量</w:t>
      </w:r>
      <w:r>
        <w:rPr>
          <w:rFonts w:hint="default" w:ascii="Times New Roman" w:hAnsi="Times New Roman" w:cs="Times New Roman"/>
          <w:kern w:val="2"/>
          <w:sz w:val="24"/>
          <w:szCs w:val="24"/>
          <w:lang w:val="en-US" w:eastAsia="zh-CN"/>
        </w:rPr>
        <w:t>的测定。测</w:t>
      </w:r>
      <w:r>
        <w:rPr>
          <w:rFonts w:hint="default" w:ascii="Times New Roman" w:hAnsi="Times New Roman" w:cs="Times New Roman"/>
          <w:sz w:val="24"/>
        </w:rPr>
        <w:t>定范围（质量分数,</w:t>
      </w:r>
      <w:r>
        <w:rPr>
          <w:rFonts w:hint="default" w:ascii="Times New Roman" w:hAnsi="Times New Roman" w:cs="Times New Roman"/>
          <w:sz w:val="24"/>
        </w:rPr>
        <w:t>ω</w:t>
      </w:r>
      <w:r>
        <w:rPr>
          <w:rFonts w:hint="default" w:ascii="Times New Roman" w:hAnsi="Times New Roman" w:cs="Times New Roman"/>
          <w:sz w:val="24"/>
        </w:rPr>
        <w:t>）≥0.0001%。</w:t>
      </w:r>
    </w:p>
    <w:p w14:paraId="68FDC558">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B.</w:t>
      </w:r>
      <w:r>
        <w:rPr>
          <w:rFonts w:hint="default" w:ascii="Times New Roman" w:hAnsi="Times New Roman" w:cs="Times New Roman"/>
          <w:b/>
          <w:bCs/>
          <w:kern w:val="2"/>
          <w:sz w:val="24"/>
          <w:szCs w:val="24"/>
          <w:lang w:val="en-US" w:eastAsia="zh-CN"/>
        </w:rPr>
        <w:t>2</w:t>
      </w:r>
      <w:r>
        <w:rPr>
          <w:rFonts w:hint="default" w:ascii="Times New Roman" w:hAnsi="Times New Roman" w:cs="Times New Roman"/>
          <w:b/>
          <w:bCs/>
          <w:kern w:val="2"/>
          <w:sz w:val="24"/>
          <w:szCs w:val="24"/>
        </w:rPr>
        <w:t>方法原理</w:t>
      </w:r>
    </w:p>
    <w:p w14:paraId="3FDC0E38">
      <w:pPr>
        <w:tabs>
          <w:tab w:val="left" w:pos="6444"/>
        </w:tabs>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试样用硫酸分解，硅酸与钼酸铵生成硅钼杂多酸，加入氢氟酸消除磷、砷等杂质的影响，用硫酸亚铁铵还原生成硅钼蓝，于分光光度计波长810nm处测量其吸光度，计算硅的质量分数。</w:t>
      </w:r>
    </w:p>
    <w:p w14:paraId="529B95D5">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B.</w:t>
      </w:r>
      <w:r>
        <w:rPr>
          <w:rFonts w:hint="default" w:ascii="Times New Roman" w:hAnsi="Times New Roman" w:cs="Times New Roman"/>
          <w:b/>
          <w:bCs/>
          <w:kern w:val="2"/>
          <w:sz w:val="24"/>
          <w:szCs w:val="24"/>
          <w:lang w:val="en-US" w:eastAsia="zh-CN"/>
        </w:rPr>
        <w:t>3</w:t>
      </w:r>
      <w:r>
        <w:rPr>
          <w:rFonts w:hint="default" w:ascii="Times New Roman" w:hAnsi="Times New Roman" w:cs="Times New Roman"/>
          <w:b/>
          <w:bCs/>
          <w:kern w:val="2"/>
          <w:sz w:val="24"/>
          <w:szCs w:val="24"/>
        </w:rPr>
        <w:t>试剂与材料</w:t>
      </w:r>
    </w:p>
    <w:p w14:paraId="037BB976">
      <w:pPr>
        <w:tabs>
          <w:tab w:val="left" w:pos="6444"/>
        </w:tabs>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本标准所用试剂和水,在没有注明其他要求时,均指分析纯试剂和GB/T 6682中规定的三级水。</w:t>
      </w:r>
    </w:p>
    <w:p w14:paraId="3AA1E774">
      <w:pPr>
        <w:tabs>
          <w:tab w:val="left" w:pos="6444"/>
        </w:tabs>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.1 硫酸（6+94）</w:t>
      </w:r>
      <w:r>
        <w:rPr>
          <w:rFonts w:hint="default" w:ascii="Times New Roman" w:hAnsi="Times New Roman" w:cs="Times New Roman"/>
          <w:sz w:val="24"/>
          <w:lang w:val="en-US" w:eastAsia="zh-CN"/>
        </w:rPr>
        <w:t>。</w:t>
      </w:r>
    </w:p>
    <w:p w14:paraId="73F06617">
      <w:pPr>
        <w:tabs>
          <w:tab w:val="left" w:pos="6444"/>
        </w:tabs>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.2 氢氟酸（1+9）</w:t>
      </w:r>
      <w:r>
        <w:rPr>
          <w:rFonts w:hint="default" w:ascii="Times New Roman" w:hAnsi="Times New Roman" w:cs="Times New Roman"/>
          <w:sz w:val="24"/>
          <w:lang w:val="en-US" w:eastAsia="zh-CN"/>
        </w:rPr>
        <w:t>。</w:t>
      </w:r>
    </w:p>
    <w:p w14:paraId="1BDE5853">
      <w:pPr>
        <w:tabs>
          <w:tab w:val="left" w:pos="6444"/>
        </w:tabs>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.3 钼酸铵（75g/L）；称取75g钼酸铵[(NH</w:t>
      </w:r>
      <w:r>
        <w:rPr>
          <w:rFonts w:hint="default" w:ascii="Times New Roman" w:hAnsi="Times New Roman" w:cs="Times New Roman"/>
          <w:sz w:val="24"/>
          <w:vertAlign w:val="subscript"/>
        </w:rPr>
        <w:t>4</w:t>
      </w:r>
      <w:r>
        <w:rPr>
          <w:rFonts w:hint="default" w:ascii="Times New Roman" w:hAnsi="Times New Roman" w:cs="Times New Roman"/>
          <w:sz w:val="24"/>
        </w:rPr>
        <w:t>)</w:t>
      </w:r>
      <w:r>
        <w:rPr>
          <w:rFonts w:hint="default" w:ascii="Times New Roman" w:hAnsi="Times New Roman" w:cs="Times New Roman"/>
          <w:sz w:val="24"/>
          <w:vertAlign w:val="subscript"/>
        </w:rPr>
        <w:t>6</w:t>
      </w:r>
      <w:r>
        <w:rPr>
          <w:rFonts w:hint="default" w:ascii="Times New Roman" w:hAnsi="Times New Roman" w:cs="Times New Roman"/>
          <w:sz w:val="24"/>
        </w:rPr>
        <w:t>Mo</w:t>
      </w:r>
      <w:r>
        <w:rPr>
          <w:rFonts w:hint="default" w:ascii="Times New Roman" w:hAnsi="Times New Roman" w:cs="Times New Roman"/>
          <w:sz w:val="24"/>
          <w:vertAlign w:val="subscript"/>
        </w:rPr>
        <w:t>7</w:t>
      </w:r>
      <w:r>
        <w:rPr>
          <w:rFonts w:hint="default" w:ascii="Times New Roman" w:hAnsi="Times New Roman" w:cs="Times New Roman"/>
          <w:sz w:val="24"/>
        </w:rPr>
        <w:t>O</w:t>
      </w:r>
      <w:r>
        <w:rPr>
          <w:rFonts w:hint="default" w:ascii="Times New Roman" w:hAnsi="Times New Roman" w:cs="Times New Roman"/>
          <w:sz w:val="24"/>
          <w:vertAlign w:val="subscript"/>
        </w:rPr>
        <w:t>24</w:t>
      </w:r>
      <w:r>
        <w:rPr>
          <w:rFonts w:hint="default" w:ascii="Times New Roman" w:hAnsi="Times New Roman" w:cs="Times New Roman"/>
          <w:sz w:val="24"/>
        </w:rPr>
        <w:t>·4H</w:t>
      </w:r>
      <w:r>
        <w:rPr>
          <w:rFonts w:hint="default" w:ascii="Times New Roman" w:hAnsi="Times New Roman" w:cs="Times New Roman"/>
          <w:sz w:val="24"/>
          <w:vertAlign w:val="subscript"/>
        </w:rPr>
        <w:t>2</w:t>
      </w:r>
      <w:r>
        <w:rPr>
          <w:rFonts w:hint="default" w:ascii="Times New Roman" w:hAnsi="Times New Roman" w:cs="Times New Roman"/>
          <w:sz w:val="24"/>
        </w:rPr>
        <w:t>O]溶解于温水中，冷却后用水稀释至1000mL</w:t>
      </w:r>
      <w:r>
        <w:rPr>
          <w:rFonts w:hint="default" w:ascii="Times New Roman" w:hAnsi="Times New Roman" w:cs="Times New Roman"/>
          <w:sz w:val="24"/>
          <w:lang w:eastAsia="zh-CN"/>
        </w:rPr>
        <w:t>。</w:t>
      </w:r>
    </w:p>
    <w:p w14:paraId="18E74044">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.4 硫酸铁铵（150g/L）：称取150g硫酸铁铵[NH</w:t>
      </w:r>
      <w:r>
        <w:rPr>
          <w:rFonts w:hint="default" w:ascii="Times New Roman" w:hAnsi="Times New Roman" w:cs="Times New Roman"/>
          <w:sz w:val="24"/>
          <w:vertAlign w:val="subscript"/>
        </w:rPr>
        <w:t>4</w:t>
      </w:r>
      <w:r>
        <w:rPr>
          <w:rFonts w:hint="default" w:ascii="Times New Roman" w:hAnsi="Times New Roman" w:cs="Times New Roman"/>
          <w:sz w:val="24"/>
        </w:rPr>
        <w:t>Fe(SO</w:t>
      </w:r>
      <w:r>
        <w:rPr>
          <w:rFonts w:hint="default" w:ascii="Times New Roman" w:hAnsi="Times New Roman" w:cs="Times New Roman"/>
          <w:sz w:val="24"/>
          <w:vertAlign w:val="subscript"/>
        </w:rPr>
        <w:t>4</w:t>
      </w:r>
      <w:r>
        <w:rPr>
          <w:rFonts w:hint="default" w:ascii="Times New Roman" w:hAnsi="Times New Roman" w:cs="Times New Roman"/>
          <w:sz w:val="24"/>
        </w:rPr>
        <w:t>)</w:t>
      </w:r>
      <w:r>
        <w:rPr>
          <w:rFonts w:hint="default" w:ascii="Times New Roman" w:hAnsi="Times New Roman" w:cs="Times New Roman"/>
          <w:sz w:val="24"/>
          <w:vertAlign w:val="subscript"/>
        </w:rPr>
        <w:t>2</w:t>
      </w:r>
      <w:r>
        <w:rPr>
          <w:rFonts w:hint="default" w:ascii="Times New Roman" w:hAnsi="Times New Roman" w:cs="Times New Roman"/>
          <w:sz w:val="24"/>
        </w:rPr>
        <w:t>·12H</w:t>
      </w:r>
      <w:r>
        <w:rPr>
          <w:rFonts w:hint="default" w:ascii="Times New Roman" w:hAnsi="Times New Roman" w:cs="Times New Roman"/>
          <w:sz w:val="24"/>
          <w:vertAlign w:val="subscript"/>
        </w:rPr>
        <w:t>2</w:t>
      </w:r>
      <w:r>
        <w:rPr>
          <w:rFonts w:hint="default" w:ascii="Times New Roman" w:hAnsi="Times New Roman" w:cs="Times New Roman"/>
          <w:sz w:val="24"/>
        </w:rPr>
        <w:t>O]溶解于500mL水中，加100mL硫酸（1+9），用水稀释至1000mL，混匀</w:t>
      </w:r>
      <w:r>
        <w:rPr>
          <w:rFonts w:hint="default" w:ascii="Times New Roman" w:hAnsi="Times New Roman" w:cs="Times New Roman"/>
          <w:sz w:val="24"/>
          <w:lang w:eastAsia="zh-CN"/>
        </w:rPr>
        <w:t>。</w:t>
      </w:r>
    </w:p>
    <w:p w14:paraId="53A08E8F">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.5 硅标准溶液，100μg/mL。移取1000μg/mL硅标准溶液10.00mL于100mL容量瓶中，用水稀至刻度，混匀。此溶液1mL含硅100μg</w:t>
      </w:r>
      <w:r>
        <w:rPr>
          <w:rFonts w:hint="default" w:ascii="Times New Roman" w:hAnsi="Times New Roman" w:cs="Times New Roman"/>
          <w:sz w:val="24"/>
          <w:lang w:eastAsia="zh-CN"/>
        </w:rPr>
        <w:t>。</w:t>
      </w:r>
    </w:p>
    <w:p w14:paraId="6477DB09">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.6 硅标准溶液，10μg/mL。移取100μg/mL硅标准溶液10.00mL于100mL容量瓶中，用水稀释至刻度，混匀。此溶液1mL含硅10μg</w:t>
      </w:r>
      <w:r>
        <w:rPr>
          <w:rFonts w:hint="default" w:ascii="Times New Roman" w:hAnsi="Times New Roman" w:cs="Times New Roman"/>
          <w:sz w:val="24"/>
          <w:lang w:eastAsia="zh-CN"/>
        </w:rPr>
        <w:t>。</w:t>
      </w:r>
    </w:p>
    <w:p w14:paraId="0F0055D5">
      <w:pPr>
        <w:spacing w:line="360" w:lineRule="auto"/>
        <w:jc w:val="left"/>
        <w:rPr>
          <w:rFonts w:hint="default" w:ascii="Times New Roman" w:hAnsi="Times New Roman" w:cs="Times New Roman"/>
          <w:sz w:val="24"/>
        </w:rPr>
      </w:pPr>
      <w:r>
        <w:rPr>
          <w:rFonts w:hint="default" w:ascii="Times New Roman" w:hAnsi="Times New Roman" w:cs="Times New Roman"/>
          <w:sz w:val="24"/>
        </w:rPr>
        <w:t>B.</w:t>
      </w:r>
      <w:r>
        <w:rPr>
          <w:rFonts w:hint="default" w:ascii="Times New Roman" w:hAnsi="Times New Roman" w:cs="Times New Roman"/>
          <w:sz w:val="24"/>
          <w:lang w:val="en-US" w:eastAsia="zh-CN"/>
        </w:rPr>
        <w:t>3</w:t>
      </w:r>
      <w:r>
        <w:rPr>
          <w:rFonts w:hint="default" w:ascii="Times New Roman" w:hAnsi="Times New Roman" w:cs="Times New Roman"/>
          <w:sz w:val="24"/>
        </w:rPr>
        <w:t>.7 硅标准溶液，2.5μg/mL。移取10μg/mL硅标准溶液25.00mL于100mL容量瓶中，用水稀释至刻度，混匀。此溶液1mL含硅2.5μg。</w:t>
      </w:r>
    </w:p>
    <w:p w14:paraId="56ACCA09">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B.</w:t>
      </w:r>
      <w:r>
        <w:rPr>
          <w:rFonts w:hint="default" w:ascii="Times New Roman" w:hAnsi="Times New Roman" w:cs="Times New Roman"/>
          <w:b/>
          <w:bCs/>
          <w:kern w:val="2"/>
          <w:sz w:val="24"/>
          <w:szCs w:val="24"/>
          <w:lang w:val="en-US" w:eastAsia="zh-CN"/>
        </w:rPr>
        <w:t>4</w:t>
      </w:r>
      <w:r>
        <w:rPr>
          <w:rFonts w:hint="default" w:ascii="Times New Roman" w:hAnsi="Times New Roman" w:cs="Times New Roman"/>
          <w:b/>
          <w:bCs/>
          <w:kern w:val="2"/>
          <w:sz w:val="24"/>
          <w:szCs w:val="24"/>
        </w:rPr>
        <w:t>分析步骤</w:t>
      </w:r>
    </w:p>
    <w:p w14:paraId="4D822A44">
      <w:pPr>
        <w:tabs>
          <w:tab w:val="left" w:pos="6444"/>
        </w:tabs>
        <w:spacing w:line="360" w:lineRule="auto"/>
        <w:jc w:val="left"/>
        <w:rPr>
          <w:rFonts w:hint="default" w:ascii="Times New Roman" w:hAnsi="Times New Roman" w:cs="Times New Roman"/>
          <w:sz w:val="24"/>
        </w:rPr>
      </w:pPr>
      <w:r>
        <w:rPr>
          <w:rFonts w:hint="default" w:ascii="Times New Roman" w:hAnsi="Times New Roman" w:cs="Times New Roman"/>
          <w:sz w:val="24"/>
        </w:rPr>
        <w:t>B.</w:t>
      </w:r>
      <w:r>
        <w:rPr>
          <w:rFonts w:hint="default" w:ascii="Times New Roman" w:hAnsi="Times New Roman" w:cs="Times New Roman"/>
          <w:sz w:val="24"/>
          <w:lang w:val="en-US" w:eastAsia="zh-CN"/>
        </w:rPr>
        <w:t>4</w:t>
      </w:r>
      <w:r>
        <w:rPr>
          <w:rFonts w:hint="default" w:ascii="Times New Roman" w:hAnsi="Times New Roman" w:cs="Times New Roman"/>
          <w:sz w:val="24"/>
        </w:rPr>
        <w:t>.1试样分解</w:t>
      </w:r>
    </w:p>
    <w:p w14:paraId="5E52E23F">
      <w:pPr>
        <w:autoSpaceDE w:val="0"/>
        <w:autoSpaceDN w:val="0"/>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准确称取试样0.2000g±0.0001g置于100mL玻璃烧杯中，加9mL硫酸（见B.</w:t>
      </w:r>
      <w:r>
        <w:rPr>
          <w:rFonts w:hint="default" w:ascii="Times New Roman" w:hAnsi="Times New Roman" w:cs="Times New Roman"/>
          <w:sz w:val="24"/>
          <w:lang w:val="en-US" w:eastAsia="zh-CN"/>
        </w:rPr>
        <w:t>3</w:t>
      </w:r>
      <w:r>
        <w:rPr>
          <w:rFonts w:hint="default" w:ascii="Times New Roman" w:hAnsi="Times New Roman" w:cs="Times New Roman"/>
          <w:sz w:val="24"/>
        </w:rPr>
        <w:t>.1）至试样完全溶解。将试样移入100mL容量瓶中（每一份试样加1.00mL硅标准溶液（见B.</w:t>
      </w:r>
      <w:r>
        <w:rPr>
          <w:rFonts w:hint="default" w:ascii="Times New Roman" w:hAnsi="Times New Roman" w:cs="Times New Roman"/>
          <w:sz w:val="24"/>
          <w:lang w:val="en-US" w:eastAsia="zh-CN"/>
        </w:rPr>
        <w:t>3</w:t>
      </w:r>
      <w:r>
        <w:rPr>
          <w:rFonts w:hint="default" w:ascii="Times New Roman" w:hAnsi="Times New Roman" w:cs="Times New Roman"/>
          <w:sz w:val="24"/>
        </w:rPr>
        <w:t>.7），放置于50℃恒温水浴锅中水浴7-8min取出。加入10mL钼酸铵溶液（见B.</w:t>
      </w:r>
      <w:r>
        <w:rPr>
          <w:rFonts w:hint="default" w:ascii="Times New Roman" w:hAnsi="Times New Roman" w:cs="Times New Roman"/>
          <w:sz w:val="24"/>
          <w:lang w:val="en-US" w:eastAsia="zh-CN"/>
        </w:rPr>
        <w:t>3</w:t>
      </w:r>
      <w:r>
        <w:rPr>
          <w:rFonts w:hint="default" w:ascii="Times New Roman" w:hAnsi="Times New Roman" w:cs="Times New Roman"/>
          <w:sz w:val="24"/>
        </w:rPr>
        <w:t>.3），用少量水冲洗附着于瓶内壁上的钼酸铵，摇匀，继续在恒温水浴锅中放置7-8min，取出冷却至室温。加入15mL氢氟酸（见B.</w:t>
      </w:r>
      <w:r>
        <w:rPr>
          <w:rFonts w:hint="default" w:ascii="Times New Roman" w:hAnsi="Times New Roman" w:cs="Times New Roman"/>
          <w:sz w:val="24"/>
          <w:lang w:val="en-US" w:eastAsia="zh-CN"/>
        </w:rPr>
        <w:t>3</w:t>
      </w:r>
      <w:r>
        <w:rPr>
          <w:rFonts w:hint="default" w:ascii="Times New Roman" w:hAnsi="Times New Roman" w:cs="Times New Roman"/>
          <w:sz w:val="24"/>
        </w:rPr>
        <w:t>.2）混匀，再加入5mL硫酸铁铵溶液（见B.</w:t>
      </w:r>
      <w:r>
        <w:rPr>
          <w:rFonts w:hint="default" w:ascii="Times New Roman" w:hAnsi="Times New Roman" w:cs="Times New Roman"/>
          <w:sz w:val="24"/>
          <w:lang w:val="en-US" w:eastAsia="zh-CN"/>
        </w:rPr>
        <w:t>3</w:t>
      </w:r>
      <w:r>
        <w:rPr>
          <w:rFonts w:hint="default" w:ascii="Times New Roman" w:hAnsi="Times New Roman" w:cs="Times New Roman"/>
          <w:sz w:val="24"/>
        </w:rPr>
        <w:t>.4）混匀，用水稀释至刻度，混匀，静止15min。将部分试液移入相应的比色皿中，以随同试样的空白溶液为参比，于分光光度计波长810nm处，用3cm比色皿测量其吸光度，从工作曲线上查出相应的硅含量。（可根据样品吸光值或样品含量调整比色皿、标准溶液的浓度或移取体积）。</w:t>
      </w:r>
    </w:p>
    <w:p w14:paraId="76D836A1">
      <w:pPr>
        <w:tabs>
          <w:tab w:val="left" w:pos="6444"/>
        </w:tabs>
        <w:spacing w:line="360" w:lineRule="auto"/>
        <w:jc w:val="left"/>
        <w:rPr>
          <w:rFonts w:hint="default" w:ascii="Times New Roman" w:hAnsi="Times New Roman" w:cs="Times New Roman"/>
          <w:sz w:val="24"/>
        </w:rPr>
      </w:pPr>
      <w:bookmarkStart w:id="67" w:name="_Toc7084"/>
      <w:r>
        <w:rPr>
          <w:rFonts w:hint="default" w:ascii="Times New Roman" w:hAnsi="Times New Roman" w:cs="Times New Roman"/>
          <w:sz w:val="24"/>
        </w:rPr>
        <w:t>B.</w:t>
      </w:r>
      <w:r>
        <w:rPr>
          <w:rFonts w:hint="default" w:ascii="Times New Roman" w:hAnsi="Times New Roman" w:cs="Times New Roman"/>
          <w:sz w:val="24"/>
          <w:lang w:val="en-US" w:eastAsia="zh-CN"/>
        </w:rPr>
        <w:t>4</w:t>
      </w:r>
      <w:r>
        <w:rPr>
          <w:rFonts w:hint="default" w:ascii="Times New Roman" w:hAnsi="Times New Roman" w:cs="Times New Roman"/>
          <w:sz w:val="24"/>
        </w:rPr>
        <w:t>.2校准曲线的绘制</w:t>
      </w:r>
      <w:bookmarkEnd w:id="67"/>
    </w:p>
    <w:p w14:paraId="46D51D09">
      <w:pPr>
        <w:overflowPunct w:val="0"/>
        <w:topLinePunct/>
        <w:autoSpaceDE w:val="0"/>
        <w:autoSpaceDN w:val="0"/>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移取0.00mL、1.00mL、2.00mL、3.00mL硅标准溶液（见B.</w:t>
      </w:r>
      <w:r>
        <w:rPr>
          <w:rFonts w:hint="default" w:ascii="Times New Roman" w:hAnsi="Times New Roman" w:cs="Times New Roman"/>
          <w:sz w:val="24"/>
          <w:lang w:val="en-US" w:eastAsia="zh-CN"/>
        </w:rPr>
        <w:t>3</w:t>
      </w:r>
      <w:r>
        <w:rPr>
          <w:rFonts w:hint="default" w:ascii="Times New Roman" w:hAnsi="Times New Roman" w:cs="Times New Roman"/>
          <w:sz w:val="24"/>
        </w:rPr>
        <w:t>.7）置于100mL容量瓶中，加9mL硫酸（见B.</w:t>
      </w:r>
      <w:r>
        <w:rPr>
          <w:rFonts w:hint="default" w:ascii="Times New Roman" w:hAnsi="Times New Roman" w:cs="Times New Roman"/>
          <w:sz w:val="24"/>
          <w:lang w:val="en-US" w:eastAsia="zh-CN"/>
        </w:rPr>
        <w:t>3</w:t>
      </w:r>
      <w:r>
        <w:rPr>
          <w:rFonts w:hint="default" w:ascii="Times New Roman" w:hAnsi="Times New Roman" w:cs="Times New Roman"/>
          <w:sz w:val="24"/>
        </w:rPr>
        <w:t>.1）用水稀释至40mL，放置于50℃恒温水浴锅中水浴7-8min取出。加入10mL钼酸铵溶液（见B.</w:t>
      </w:r>
      <w:r>
        <w:rPr>
          <w:rFonts w:hint="default" w:ascii="Times New Roman" w:hAnsi="Times New Roman" w:cs="Times New Roman"/>
          <w:sz w:val="24"/>
          <w:lang w:val="en-US" w:eastAsia="zh-CN"/>
        </w:rPr>
        <w:t>3</w:t>
      </w:r>
      <w:r>
        <w:rPr>
          <w:rFonts w:hint="default" w:ascii="Times New Roman" w:hAnsi="Times New Roman" w:cs="Times New Roman"/>
          <w:sz w:val="24"/>
        </w:rPr>
        <w:t>.3），用少量水冲洗附着瓶内壁上的钼酸铵，摇匀，继续在恒温水浴锅中放置7-8min，取出冷却至室温。加入15mL氢氟酸（见B.</w:t>
      </w:r>
      <w:r>
        <w:rPr>
          <w:rFonts w:hint="default" w:ascii="Times New Roman" w:hAnsi="Times New Roman" w:cs="Times New Roman"/>
          <w:sz w:val="24"/>
          <w:lang w:val="en-US" w:eastAsia="zh-CN"/>
        </w:rPr>
        <w:t>3</w:t>
      </w:r>
      <w:r>
        <w:rPr>
          <w:rFonts w:hint="default" w:ascii="Times New Roman" w:hAnsi="Times New Roman" w:cs="Times New Roman"/>
          <w:sz w:val="24"/>
        </w:rPr>
        <w:t>.2）混匀，再加入5mL硫酸铁铵溶液（见B.</w:t>
      </w:r>
      <w:r>
        <w:rPr>
          <w:rFonts w:hint="default" w:ascii="Times New Roman" w:hAnsi="Times New Roman" w:cs="Times New Roman"/>
          <w:sz w:val="24"/>
          <w:lang w:val="en-US" w:eastAsia="zh-CN"/>
        </w:rPr>
        <w:t>3</w:t>
      </w:r>
      <w:r>
        <w:rPr>
          <w:rFonts w:hint="default" w:ascii="Times New Roman" w:hAnsi="Times New Roman" w:cs="Times New Roman"/>
          <w:sz w:val="24"/>
        </w:rPr>
        <w:t>.4）混匀，用水稀释至刻度，混匀，静止15min。将部分试液移入相应的比色皿中，以随同试样的空白溶液为参比，于分光光度计波长810nm处，用3cm比色皿测量其吸光度，以硅含量为横坐标，吸光度为纵坐标绘制工作曲线。</w:t>
      </w:r>
    </w:p>
    <w:p w14:paraId="49BDAAD3">
      <w:pPr>
        <w:tabs>
          <w:tab w:val="left" w:pos="6444"/>
        </w:tabs>
        <w:spacing w:line="360" w:lineRule="auto"/>
        <w:jc w:val="left"/>
        <w:rPr>
          <w:rFonts w:hint="default" w:ascii="Times New Roman" w:hAnsi="Times New Roman" w:cs="Times New Roman"/>
          <w:sz w:val="24"/>
        </w:rPr>
      </w:pPr>
      <w:r>
        <w:rPr>
          <w:rFonts w:hint="default" w:ascii="Times New Roman" w:hAnsi="Times New Roman" w:cs="Times New Roman"/>
          <w:sz w:val="24"/>
        </w:rPr>
        <w:t>B.</w:t>
      </w:r>
      <w:r>
        <w:rPr>
          <w:rFonts w:hint="default" w:ascii="Times New Roman" w:hAnsi="Times New Roman" w:cs="Times New Roman"/>
          <w:sz w:val="24"/>
          <w:lang w:val="en-US" w:eastAsia="zh-CN"/>
        </w:rPr>
        <w:t>4</w:t>
      </w:r>
      <w:r>
        <w:rPr>
          <w:rFonts w:hint="default" w:ascii="Times New Roman" w:hAnsi="Times New Roman" w:cs="Times New Roman"/>
          <w:sz w:val="24"/>
        </w:rPr>
        <w:t>.3空白试验</w:t>
      </w:r>
    </w:p>
    <w:p w14:paraId="2236FB0F">
      <w:pPr>
        <w:tabs>
          <w:tab w:val="left" w:pos="6444"/>
        </w:tabs>
        <w:spacing w:line="360" w:lineRule="auto"/>
        <w:ind w:firstLine="480" w:firstLineChars="200"/>
        <w:jc w:val="left"/>
        <w:rPr>
          <w:rFonts w:hint="eastAsia" w:ascii="Times New Roman" w:hAnsi="Times New Roman" w:eastAsia="宋体" w:cs="Times New Roman"/>
          <w:sz w:val="24"/>
          <w:lang w:eastAsia="zh-CN"/>
        </w:rPr>
      </w:pPr>
      <w:r>
        <w:rPr>
          <w:rFonts w:hint="default" w:ascii="Times New Roman" w:hAnsi="Times New Roman" w:cs="Times New Roman"/>
          <w:sz w:val="24"/>
        </w:rPr>
        <w:t>同试样进行空白试验</w:t>
      </w:r>
      <w:r>
        <w:rPr>
          <w:rFonts w:hint="eastAsia" w:cs="Times New Roman"/>
          <w:sz w:val="24"/>
          <w:lang w:eastAsia="zh-CN"/>
        </w:rPr>
        <w:t>。</w:t>
      </w:r>
    </w:p>
    <w:p w14:paraId="2222FF8E">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B.</w:t>
      </w:r>
      <w:r>
        <w:rPr>
          <w:rFonts w:hint="default" w:ascii="Times New Roman" w:hAnsi="Times New Roman" w:cs="Times New Roman"/>
          <w:b/>
          <w:bCs/>
          <w:kern w:val="2"/>
          <w:sz w:val="24"/>
          <w:szCs w:val="24"/>
          <w:lang w:val="en-US" w:eastAsia="zh-CN"/>
        </w:rPr>
        <w:t>5</w:t>
      </w:r>
      <w:r>
        <w:rPr>
          <w:rFonts w:hint="default" w:ascii="Times New Roman" w:hAnsi="Times New Roman" w:cs="Times New Roman"/>
          <w:b/>
          <w:bCs/>
          <w:kern w:val="2"/>
          <w:sz w:val="24"/>
          <w:szCs w:val="24"/>
        </w:rPr>
        <w:t>分析结果的计算</w:t>
      </w:r>
    </w:p>
    <w:p w14:paraId="43AF2250">
      <w:pPr>
        <w:tabs>
          <w:tab w:val="left" w:pos="6444"/>
        </w:tabs>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计算试样中硅的含量，以质量分数(%)表示；</w:t>
      </w:r>
    </w:p>
    <w:p w14:paraId="4EB2E814">
      <w:pPr>
        <w:spacing w:line="360" w:lineRule="auto"/>
        <w:jc w:val="center"/>
        <w:rPr>
          <w:rFonts w:hint="default" w:ascii="Times New Roman" w:hAnsi="Times New Roman" w:cs="Times New Roman"/>
          <w:sz w:val="18"/>
        </w:rPr>
      </w:pPr>
      <w:r>
        <w:rPr>
          <w:rFonts w:hint="default" w:ascii="Times New Roman" w:hAnsi="Times New Roman" w:cs="Times New Roman"/>
          <w:i w:val="0"/>
          <w:sz w:val="22"/>
          <w:szCs w:val="36"/>
          <w:lang w:val="en-US" w:eastAsia="zh-CN"/>
        </w:rPr>
        <w:t xml:space="preserve">                    </w:t>
      </w:r>
      <m:oMath>
        <m:r>
          <m:rPr>
            <m:nor/>
          </m:rPr>
          <w:rPr>
            <w:rFonts w:hint="default" w:ascii="Times New Roman" w:hAnsi="Times New Roman" w:cs="Times New Roman"/>
            <w:i/>
            <w:sz w:val="28"/>
            <w:szCs w:val="44"/>
          </w:rPr>
          <m:t>ω</m:t>
        </m:r>
        <m:r>
          <m:rPr>
            <m:nor/>
            <m:sty m:val="p"/>
          </m:rPr>
          <w:rPr>
            <w:rFonts w:hint="default" w:ascii="Times New Roman" w:hAnsi="Times New Roman" w:cs="Times New Roman"/>
            <w:i w:val="0"/>
            <w:sz w:val="28"/>
            <w:szCs w:val="44"/>
          </w:rPr>
          <m:t>=</m:t>
        </m:r>
        <m:f>
          <m:fPr>
            <m:ctrlPr>
              <w:rPr>
                <w:rFonts w:hint="default" w:ascii="Cambria Math" w:hAnsi="Cambria Math" w:cs="Times New Roman"/>
                <w:i/>
                <w:sz w:val="28"/>
                <w:szCs w:val="44"/>
              </w:rPr>
            </m:ctrlPr>
          </m:fPr>
          <m:num>
            <m:d>
              <m:dPr>
                <m:ctrlPr>
                  <w:rPr>
                    <w:rFonts w:hint="default" w:ascii="Cambria Math" w:hAnsi="Cambria Math" w:cs="Times New Roman"/>
                    <w:i/>
                    <w:sz w:val="28"/>
                    <w:szCs w:val="44"/>
                  </w:rPr>
                </m:ctrlPr>
              </m:dPr>
              <m:e>
                <m:sSub>
                  <m:sSubPr>
                    <m:ctrlPr>
                      <w:rPr>
                        <w:rFonts w:hint="default" w:ascii="Cambria Math" w:hAnsi="Cambria Math" w:cs="Times New Roman"/>
                        <w:i/>
                        <w:sz w:val="28"/>
                        <w:szCs w:val="44"/>
                      </w:rPr>
                    </m:ctrlPr>
                  </m:sSubPr>
                  <m:e>
                    <m:r>
                      <m:rPr>
                        <m:nor/>
                      </m:rPr>
                      <w:rPr>
                        <w:rFonts w:hint="default" w:ascii="Times New Roman" w:hAnsi="Times New Roman" w:cs="Times New Roman"/>
                        <w:i/>
                        <w:sz w:val="28"/>
                        <w:szCs w:val="44"/>
                      </w:rPr>
                      <m:t>m</m:t>
                    </m:r>
                    <m:ctrlPr>
                      <w:rPr>
                        <w:rFonts w:hint="default" w:ascii="Cambria Math" w:hAnsi="Cambria Math" w:cs="Times New Roman"/>
                        <w:i/>
                        <w:sz w:val="28"/>
                        <w:szCs w:val="44"/>
                      </w:rPr>
                    </m:ctrlPr>
                  </m:e>
                  <m:sub>
                    <m:r>
                      <m:rPr>
                        <m:nor/>
                        <m:sty m:val="p"/>
                      </m:rPr>
                      <w:rPr>
                        <w:rFonts w:hint="default" w:ascii="Times New Roman" w:hAnsi="Times New Roman" w:cs="Times New Roman"/>
                        <w:i w:val="0"/>
                        <w:sz w:val="28"/>
                        <w:szCs w:val="44"/>
                      </w:rPr>
                      <m:t>3</m:t>
                    </m:r>
                    <m:ctrlPr>
                      <w:rPr>
                        <w:rFonts w:hint="default" w:ascii="Cambria Math" w:hAnsi="Cambria Math" w:cs="Times New Roman"/>
                        <w:i/>
                        <w:sz w:val="28"/>
                        <w:szCs w:val="44"/>
                      </w:rPr>
                    </m:ctrlPr>
                  </m:sub>
                </m:sSub>
                <m:r>
                  <m:rPr>
                    <m:nor/>
                    <m:sty m:val="p"/>
                  </m:rPr>
                  <w:rPr>
                    <w:rFonts w:hint="default" w:ascii="Times New Roman" w:hAnsi="Times New Roman" w:cs="Times New Roman"/>
                    <w:i w:val="0"/>
                    <w:sz w:val="28"/>
                    <w:szCs w:val="44"/>
                  </w:rPr>
                  <m:t>−</m:t>
                </m:r>
                <m:sSub>
                  <m:sSubPr>
                    <m:ctrlPr>
                      <w:rPr>
                        <w:rFonts w:hint="default" w:ascii="Cambria Math" w:hAnsi="Cambria Math" w:cs="Times New Roman"/>
                        <w:i/>
                        <w:sz w:val="28"/>
                        <w:szCs w:val="44"/>
                      </w:rPr>
                    </m:ctrlPr>
                  </m:sSubPr>
                  <m:e>
                    <m:r>
                      <m:rPr>
                        <m:nor/>
                      </m:rPr>
                      <w:rPr>
                        <w:rFonts w:hint="default" w:ascii="Times New Roman" w:hAnsi="Times New Roman" w:cs="Times New Roman"/>
                        <w:i/>
                        <w:sz w:val="28"/>
                        <w:szCs w:val="44"/>
                      </w:rPr>
                      <m:t>m</m:t>
                    </m:r>
                    <m:ctrlPr>
                      <w:rPr>
                        <w:rFonts w:hint="default" w:ascii="Cambria Math" w:hAnsi="Cambria Math" w:cs="Times New Roman"/>
                        <w:i/>
                        <w:sz w:val="28"/>
                        <w:szCs w:val="44"/>
                      </w:rPr>
                    </m:ctrlPr>
                  </m:e>
                  <m:sub>
                    <m:r>
                      <m:rPr>
                        <m:nor/>
                        <m:sty m:val="p"/>
                      </m:rPr>
                      <w:rPr>
                        <w:rFonts w:hint="default" w:ascii="Times New Roman" w:hAnsi="Times New Roman" w:cs="Times New Roman"/>
                        <w:i w:val="0"/>
                        <w:sz w:val="28"/>
                        <w:szCs w:val="44"/>
                      </w:rPr>
                      <m:t>1</m:t>
                    </m:r>
                    <m:ctrlPr>
                      <w:rPr>
                        <w:rFonts w:hint="default" w:ascii="Cambria Math" w:hAnsi="Cambria Math" w:cs="Times New Roman"/>
                        <w:i/>
                        <w:sz w:val="28"/>
                        <w:szCs w:val="44"/>
                      </w:rPr>
                    </m:ctrlPr>
                  </m:sub>
                </m:sSub>
                <m:ctrlPr>
                  <w:rPr>
                    <w:rFonts w:hint="default" w:ascii="Cambria Math" w:hAnsi="Cambria Math" w:cs="Times New Roman"/>
                    <w:i/>
                    <w:sz w:val="28"/>
                    <w:szCs w:val="44"/>
                  </w:rPr>
                </m:ctrlPr>
              </m:e>
            </m:d>
            <m:r>
              <m:rPr>
                <m:nor/>
                <m:sty m:val="p"/>
              </m:rPr>
              <w:rPr>
                <w:rFonts w:hint="default" w:ascii="Times New Roman" w:hAnsi="Times New Roman" w:cs="Times New Roman"/>
                <w:i w:val="0"/>
                <w:sz w:val="28"/>
                <w:szCs w:val="44"/>
              </w:rPr>
              <m:t>×</m:t>
            </m:r>
            <m:sSup>
              <m:sSupPr>
                <m:ctrlPr>
                  <w:rPr>
                    <w:rFonts w:hint="default" w:ascii="Cambria Math" w:hAnsi="Cambria Math" w:cs="Times New Roman"/>
                    <w:i/>
                    <w:sz w:val="28"/>
                    <w:szCs w:val="44"/>
                  </w:rPr>
                </m:ctrlPr>
              </m:sSupPr>
              <m:e>
                <m:r>
                  <m:rPr>
                    <m:nor/>
                    <m:sty m:val="p"/>
                  </m:rPr>
                  <w:rPr>
                    <w:rFonts w:hint="default" w:ascii="Times New Roman" w:hAnsi="Times New Roman" w:cs="Times New Roman"/>
                    <w:i w:val="0"/>
                    <w:sz w:val="28"/>
                    <w:szCs w:val="44"/>
                  </w:rPr>
                  <m:t>10</m:t>
                </m:r>
                <m:ctrlPr>
                  <w:rPr>
                    <w:rFonts w:hint="default" w:ascii="Cambria Math" w:hAnsi="Cambria Math" w:cs="Times New Roman"/>
                    <w:i/>
                    <w:sz w:val="28"/>
                    <w:szCs w:val="44"/>
                  </w:rPr>
                </m:ctrlPr>
              </m:e>
              <m:sup>
                <m:r>
                  <m:rPr>
                    <m:nor/>
                    <m:sty m:val="p"/>
                  </m:rPr>
                  <w:rPr>
                    <w:rFonts w:hint="default" w:ascii="Times New Roman" w:hAnsi="Times New Roman" w:cs="Times New Roman"/>
                    <w:i w:val="0"/>
                    <w:sz w:val="28"/>
                    <w:szCs w:val="44"/>
                  </w:rPr>
                  <m:t>−6</m:t>
                </m:r>
                <m:ctrlPr>
                  <w:rPr>
                    <w:rFonts w:hint="default" w:ascii="Cambria Math" w:hAnsi="Cambria Math" w:cs="Times New Roman"/>
                    <w:i/>
                    <w:sz w:val="28"/>
                    <w:szCs w:val="44"/>
                  </w:rPr>
                </m:ctrlPr>
              </m:sup>
            </m:sSup>
            <m:ctrlPr>
              <w:rPr>
                <w:rFonts w:hint="default" w:ascii="Cambria Math" w:hAnsi="Cambria Math" w:cs="Times New Roman"/>
                <w:i/>
                <w:sz w:val="28"/>
                <w:szCs w:val="44"/>
              </w:rPr>
            </m:ctrlPr>
          </m:num>
          <m:den>
            <m:sSub>
              <m:sSubPr>
                <m:ctrlPr>
                  <w:rPr>
                    <w:rFonts w:hint="default" w:ascii="Cambria Math" w:hAnsi="Cambria Math" w:cs="Times New Roman"/>
                    <w:i/>
                    <w:sz w:val="28"/>
                    <w:szCs w:val="44"/>
                  </w:rPr>
                </m:ctrlPr>
              </m:sSubPr>
              <m:e>
                <m:r>
                  <m:rPr>
                    <m:nor/>
                  </m:rPr>
                  <w:rPr>
                    <w:rFonts w:hint="default" w:ascii="Times New Roman" w:hAnsi="Times New Roman" w:cs="Times New Roman"/>
                    <w:i/>
                    <w:sz w:val="28"/>
                    <w:szCs w:val="44"/>
                  </w:rPr>
                  <m:t>m</m:t>
                </m:r>
                <m:ctrlPr>
                  <w:rPr>
                    <w:rFonts w:hint="default" w:ascii="Cambria Math" w:hAnsi="Cambria Math" w:cs="Times New Roman"/>
                    <w:i/>
                    <w:sz w:val="28"/>
                    <w:szCs w:val="44"/>
                  </w:rPr>
                </m:ctrlPr>
              </m:e>
              <m:sub>
                <m:r>
                  <m:rPr>
                    <m:nor/>
                    <m:sty m:val="p"/>
                  </m:rPr>
                  <w:rPr>
                    <w:rFonts w:hint="default" w:ascii="Times New Roman" w:hAnsi="Times New Roman" w:cs="Times New Roman"/>
                    <w:i w:val="0"/>
                    <w:sz w:val="28"/>
                    <w:szCs w:val="44"/>
                  </w:rPr>
                  <m:t>2</m:t>
                </m:r>
                <m:ctrlPr>
                  <w:rPr>
                    <w:rFonts w:hint="default" w:ascii="Cambria Math" w:hAnsi="Cambria Math" w:cs="Times New Roman"/>
                    <w:i/>
                    <w:sz w:val="28"/>
                    <w:szCs w:val="44"/>
                  </w:rPr>
                </m:ctrlPr>
              </m:sub>
            </m:sSub>
            <m:ctrlPr>
              <w:rPr>
                <w:rFonts w:hint="default" w:ascii="Cambria Math" w:hAnsi="Cambria Math" w:cs="Times New Roman"/>
                <w:i/>
                <w:sz w:val="28"/>
                <w:szCs w:val="44"/>
              </w:rPr>
            </m:ctrlPr>
          </m:den>
        </m:f>
        <m:r>
          <m:rPr>
            <m:nor/>
            <m:sty m:val="p"/>
          </m:rPr>
          <w:rPr>
            <w:rFonts w:hint="default" w:ascii="Times New Roman" w:hAnsi="Times New Roman" w:cs="Times New Roman"/>
            <w:i w:val="0"/>
            <w:sz w:val="28"/>
            <w:szCs w:val="44"/>
          </w:rPr>
          <m:t>×100%</m:t>
        </m:r>
      </m:oMath>
      <w:r>
        <w:rPr>
          <w:rFonts w:hint="default" w:ascii="Times New Roman" w:hAnsi="Times New Roman" w:cs="Times New Roman"/>
          <w:i w:val="0"/>
          <w:sz w:val="28"/>
          <w:szCs w:val="44"/>
          <w:lang w:val="en-US" w:eastAsia="zh-CN"/>
        </w:rPr>
        <w:t xml:space="preserve"> </w:t>
      </w:r>
      <w:r>
        <w:rPr>
          <w:rFonts w:hint="default" w:ascii="Times New Roman" w:hAnsi="Times New Roman" w:cs="Times New Roman"/>
          <w:i w:val="0"/>
          <w:sz w:val="22"/>
          <w:szCs w:val="36"/>
          <w:lang w:val="en-US" w:eastAsia="zh-CN"/>
        </w:rPr>
        <w:t xml:space="preserve">                      </w:t>
      </w:r>
      <w:r>
        <w:rPr>
          <w:rFonts w:hint="default" w:ascii="Times New Roman" w:hAnsi="Times New Roman" w:cs="Times New Roman"/>
          <w:b w:val="0"/>
          <w:i w:val="0"/>
          <w:szCs w:val="36"/>
          <w:lang w:val="en-US" w:eastAsia="zh-CN"/>
        </w:rPr>
        <w:t>（B.1）</w:t>
      </w:r>
    </w:p>
    <w:p w14:paraId="4BE22AA9">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kern w:val="2"/>
          <w:sz w:val="24"/>
          <w:szCs w:val="24"/>
        </w:rPr>
        <w:t>式中：</w:t>
      </w:r>
    </w:p>
    <w:p w14:paraId="5E5DC704">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3</w:t>
      </w:r>
      <w:r>
        <w:rPr>
          <w:rFonts w:hint="default" w:ascii="Times New Roman" w:hAnsi="Times New Roman" w:cs="Times New Roman"/>
          <w:kern w:val="2"/>
          <w:sz w:val="24"/>
          <w:szCs w:val="24"/>
        </w:rPr>
        <w:t>—从校准曲线上查得的磷量，单位为微克（μg）；</w:t>
      </w:r>
    </w:p>
    <w:p w14:paraId="4326EDE6">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2</w:t>
      </w:r>
      <w:r>
        <w:rPr>
          <w:rFonts w:hint="default" w:ascii="Times New Roman" w:hAnsi="Times New Roman" w:cs="Times New Roman"/>
          <w:kern w:val="2"/>
          <w:sz w:val="24"/>
          <w:szCs w:val="24"/>
        </w:rPr>
        <w:t>—试样量，单位为克（g）；</w:t>
      </w:r>
      <w:bookmarkStart w:id="68" w:name="_Toc30329"/>
      <w:bookmarkStart w:id="69" w:name="_Toc8513"/>
    </w:p>
    <w:p w14:paraId="52546A96">
      <w:pPr>
        <w:pStyle w:val="24"/>
        <w:snapToGrid w:val="0"/>
        <w:spacing w:line="360" w:lineRule="auto"/>
        <w:contextualSpacing/>
        <w:jc w:val="left"/>
        <w:rPr>
          <w:rFonts w:hint="default" w:ascii="Times New Roman" w:hAnsi="Times New Roman" w:cs="Times New Roman"/>
          <w:kern w:val="2"/>
          <w:sz w:val="24"/>
          <w:szCs w:val="24"/>
        </w:rPr>
      </w:pPr>
      <w:r>
        <w:rPr>
          <w:rFonts w:hint="default" w:ascii="Times New Roman" w:hAnsi="Times New Roman" w:cs="Times New Roman"/>
          <w:i/>
          <w:iCs/>
          <w:kern w:val="2"/>
          <w:sz w:val="24"/>
          <w:szCs w:val="24"/>
        </w:rPr>
        <w:t>m</w:t>
      </w:r>
      <w:r>
        <w:rPr>
          <w:rFonts w:hint="default" w:ascii="Times New Roman" w:hAnsi="Times New Roman" w:cs="Times New Roman"/>
          <w:i/>
          <w:iCs/>
          <w:kern w:val="2"/>
          <w:sz w:val="24"/>
          <w:szCs w:val="24"/>
          <w:vertAlign w:val="subscript"/>
        </w:rPr>
        <w:t>1</w:t>
      </w:r>
      <w:r>
        <w:rPr>
          <w:rFonts w:hint="default" w:ascii="Times New Roman" w:hAnsi="Times New Roman" w:cs="Times New Roman"/>
          <w:kern w:val="2"/>
          <w:sz w:val="24"/>
          <w:szCs w:val="24"/>
        </w:rPr>
        <w:t>—加入5mL的硅标液（</w:t>
      </w:r>
      <w:r>
        <w:rPr>
          <w:rFonts w:hint="default" w:ascii="Times New Roman" w:hAnsi="Times New Roman" w:cs="Times New Roman"/>
          <w:sz w:val="24"/>
        </w:rPr>
        <w:t>见B.</w:t>
      </w:r>
      <w:r>
        <w:rPr>
          <w:rFonts w:hint="default" w:ascii="Times New Roman" w:hAnsi="Times New Roman" w:cs="Times New Roman"/>
          <w:sz w:val="24"/>
          <w:lang w:val="en-US" w:eastAsia="zh-CN"/>
        </w:rPr>
        <w:t>3</w:t>
      </w:r>
      <w:r>
        <w:rPr>
          <w:rFonts w:hint="default" w:ascii="Times New Roman" w:hAnsi="Times New Roman" w:cs="Times New Roman"/>
          <w:sz w:val="24"/>
        </w:rPr>
        <w:t>.7</w:t>
      </w:r>
      <w:r>
        <w:rPr>
          <w:rFonts w:hint="default" w:ascii="Times New Roman" w:hAnsi="Times New Roman" w:cs="Times New Roman"/>
          <w:kern w:val="2"/>
          <w:sz w:val="24"/>
          <w:szCs w:val="24"/>
        </w:rPr>
        <w:t>）的硅量，单位为微克（μg）。</w:t>
      </w:r>
    </w:p>
    <w:p w14:paraId="2DC74D25">
      <w:pPr>
        <w:pStyle w:val="24"/>
        <w:snapToGrid w:val="0"/>
        <w:spacing w:line="360" w:lineRule="auto"/>
        <w:ind w:firstLine="1080" w:firstLineChars="450"/>
        <w:contextualSpacing/>
        <w:jc w:val="left"/>
        <w:rPr>
          <w:rFonts w:hint="default" w:ascii="Times New Roman" w:hAnsi="Times New Roman" w:cs="Times New Roman"/>
          <w:kern w:val="2"/>
          <w:sz w:val="24"/>
          <w:szCs w:val="24"/>
        </w:rPr>
        <w:sectPr>
          <w:pgSz w:w="11911" w:h="16838"/>
          <w:pgMar w:top="1134" w:right="1417" w:bottom="1134" w:left="1417" w:header="1134" w:footer="850" w:gutter="0"/>
          <w:pgNumType w:fmt="decimal"/>
          <w:cols w:space="0" w:num="1"/>
          <w:formProt w:val="0"/>
          <w:docGrid w:linePitch="312" w:charSpace="0"/>
        </w:sectPr>
      </w:pPr>
    </w:p>
    <w:p w14:paraId="0896B88C">
      <w:pPr>
        <w:pStyle w:val="9"/>
        <w:spacing w:line="360" w:lineRule="auto"/>
        <w:jc w:val="center"/>
        <w:outlineLvl w:val="0"/>
        <w:rPr>
          <w:rFonts w:hint="default" w:ascii="Times New Roman" w:hAnsi="Times New Roman" w:cs="Times New Roman"/>
          <w:b/>
          <w:sz w:val="24"/>
          <w:szCs w:val="24"/>
        </w:rPr>
      </w:pPr>
      <w:bookmarkStart w:id="70" w:name="_Toc26707"/>
      <w:bookmarkStart w:id="71" w:name="_Toc7316"/>
      <w:bookmarkStart w:id="72" w:name="_Toc22447"/>
      <w:r>
        <w:rPr>
          <w:rFonts w:hint="default" w:ascii="Times New Roman" w:hAnsi="Times New Roman" w:cs="Times New Roman"/>
          <w:b/>
          <w:sz w:val="24"/>
          <w:szCs w:val="24"/>
        </w:rPr>
        <w:t>附 录</w:t>
      </w:r>
      <w:bookmarkEnd w:id="68"/>
      <w:r>
        <w:rPr>
          <w:rFonts w:hint="default" w:ascii="Times New Roman" w:hAnsi="Times New Roman" w:cs="Times New Roman"/>
          <w:b/>
          <w:sz w:val="24"/>
          <w:szCs w:val="24"/>
        </w:rPr>
        <w:t>C</w:t>
      </w:r>
      <w:bookmarkEnd w:id="69"/>
      <w:bookmarkEnd w:id="70"/>
      <w:bookmarkEnd w:id="71"/>
      <w:bookmarkEnd w:id="72"/>
    </w:p>
    <w:p w14:paraId="65164C33">
      <w:pPr>
        <w:pStyle w:val="9"/>
        <w:spacing w:line="360" w:lineRule="auto"/>
        <w:jc w:val="center"/>
        <w:rPr>
          <w:rFonts w:hint="default" w:ascii="Times New Roman" w:hAnsi="Times New Roman" w:cs="Times New Roman"/>
          <w:b/>
          <w:sz w:val="24"/>
          <w:szCs w:val="24"/>
        </w:rPr>
      </w:pPr>
      <w:bookmarkStart w:id="73" w:name="_Toc17407"/>
      <w:r>
        <w:rPr>
          <w:rFonts w:hint="default" w:ascii="Times New Roman" w:hAnsi="Times New Roman" w:cs="Times New Roman"/>
          <w:b/>
          <w:sz w:val="24"/>
          <w:szCs w:val="24"/>
        </w:rPr>
        <w:t>（规范性）</w:t>
      </w:r>
      <w:bookmarkEnd w:id="73"/>
    </w:p>
    <w:p w14:paraId="477090F5">
      <w:pPr>
        <w:pStyle w:val="58"/>
        <w:tabs>
          <w:tab w:val="left" w:pos="641"/>
        </w:tabs>
        <w:spacing w:before="0" w:line="360" w:lineRule="auto"/>
        <w:ind w:left="0" w:firstLine="0"/>
        <w:jc w:val="center"/>
        <w:rPr>
          <w:rFonts w:hint="default" w:ascii="Times New Roman" w:hAnsi="Times New Roman" w:cs="Times New Roman"/>
          <w:b/>
          <w:bCs/>
          <w:sz w:val="24"/>
        </w:rPr>
      </w:pPr>
      <w:r>
        <w:rPr>
          <w:rFonts w:hint="default" w:ascii="Times New Roman" w:hAnsi="Times New Roman" w:cs="Times New Roman"/>
          <w:b/>
          <w:bCs/>
          <w:sz w:val="24"/>
        </w:rPr>
        <w:t xml:space="preserve">硒、铁、钙、镁、铝、铅、钛、铜、钴、镍、铬、锌、镉含量的测定   </w:t>
      </w:r>
    </w:p>
    <w:p w14:paraId="3EB12D5C">
      <w:pPr>
        <w:pStyle w:val="58"/>
        <w:tabs>
          <w:tab w:val="left" w:pos="641"/>
        </w:tabs>
        <w:spacing w:before="0" w:line="360" w:lineRule="auto"/>
        <w:ind w:left="0" w:firstLine="0"/>
        <w:jc w:val="center"/>
        <w:rPr>
          <w:rFonts w:hint="default" w:ascii="Times New Roman" w:hAnsi="Times New Roman" w:cs="Times New Roman"/>
          <w:b/>
          <w:bCs/>
          <w:sz w:val="24"/>
        </w:rPr>
      </w:pPr>
      <w:r>
        <w:rPr>
          <w:rFonts w:hint="default" w:ascii="Times New Roman" w:hAnsi="Times New Roman" w:cs="Times New Roman"/>
          <w:b/>
          <w:bCs/>
          <w:sz w:val="24"/>
        </w:rPr>
        <w:t>电感耦合等离子体原子发射光谱法</w:t>
      </w:r>
    </w:p>
    <w:p w14:paraId="4742E287">
      <w:pPr>
        <w:pStyle w:val="128"/>
        <w:numPr>
          <w:ilvl w:val="0"/>
          <w:numId w:val="0"/>
        </w:numPr>
        <w:snapToGrid w:val="0"/>
        <w:spacing w:line="360" w:lineRule="auto"/>
        <w:contextualSpacing/>
        <w:jc w:val="left"/>
        <w:rPr>
          <w:rFonts w:hint="default" w:ascii="Times New Roman" w:hAnsi="Times New Roman" w:cs="Times New Roman"/>
          <w:b/>
          <w:bCs/>
          <w:kern w:val="2"/>
          <w:sz w:val="24"/>
          <w:szCs w:val="24"/>
        </w:rPr>
      </w:pPr>
      <w:r>
        <w:rPr>
          <w:rFonts w:hint="default" w:ascii="Times New Roman" w:hAnsi="Times New Roman" w:cs="Times New Roman"/>
          <w:b/>
          <w:bCs/>
          <w:kern w:val="2"/>
          <w:sz w:val="24"/>
          <w:szCs w:val="24"/>
        </w:rPr>
        <w:t>C.1范围</w:t>
      </w:r>
    </w:p>
    <w:p w14:paraId="5BADE63A">
      <w:pPr>
        <w:pStyle w:val="128"/>
        <w:numPr>
          <w:ilvl w:val="0"/>
          <w:numId w:val="0"/>
        </w:numPr>
        <w:snapToGrid w:val="0"/>
        <w:spacing w:line="360" w:lineRule="auto"/>
        <w:ind w:firstLine="420" w:firstLineChars="175"/>
        <w:contextualSpacing/>
        <w:jc w:val="left"/>
        <w:rPr>
          <w:rFonts w:hint="default" w:ascii="Times New Roman" w:hAnsi="Times New Roman" w:eastAsia="宋体" w:cs="Times New Roman"/>
          <w:kern w:val="2"/>
          <w:sz w:val="24"/>
          <w:szCs w:val="24"/>
          <w:lang w:val="en-US" w:eastAsia="zh-CN"/>
        </w:rPr>
      </w:pPr>
      <w:r>
        <w:rPr>
          <w:rFonts w:hint="default" w:ascii="Times New Roman" w:hAnsi="Times New Roman" w:cs="Times New Roman"/>
          <w:kern w:val="2"/>
          <w:sz w:val="24"/>
          <w:szCs w:val="24"/>
        </w:rPr>
        <w:t>本</w:t>
      </w:r>
      <w:r>
        <w:rPr>
          <w:rFonts w:hint="default" w:ascii="Times New Roman" w:hAnsi="Times New Roman" w:cs="Times New Roman"/>
          <w:kern w:val="2"/>
          <w:sz w:val="24"/>
          <w:szCs w:val="24"/>
          <w:lang w:val="en-US" w:eastAsia="zh-CN"/>
        </w:rPr>
        <w:t>附录规定了电感耦合等离子体原子发射光谱法测量硒、铁、钙、镁、铝、铅、钛、铜、钴、镍、铬、锌、镉含量的方法原理、试剂、分析步骤、分析结果的计算。</w:t>
      </w:r>
    </w:p>
    <w:p w14:paraId="72AE5352">
      <w:pPr>
        <w:pStyle w:val="128"/>
        <w:numPr>
          <w:ilvl w:val="0"/>
          <w:numId w:val="0"/>
        </w:numPr>
        <w:snapToGrid w:val="0"/>
        <w:spacing w:line="360" w:lineRule="auto"/>
        <w:ind w:firstLine="420" w:firstLineChars="175"/>
        <w:contextualSpacing/>
        <w:jc w:val="left"/>
        <w:rPr>
          <w:rFonts w:hint="default" w:ascii="Times New Roman" w:hAnsi="Times New Roman" w:cs="Times New Roman"/>
          <w:sz w:val="24"/>
        </w:rPr>
      </w:pPr>
      <w:r>
        <w:rPr>
          <w:rFonts w:hint="default" w:ascii="Times New Roman" w:hAnsi="Times New Roman" w:cs="Times New Roman"/>
          <w:kern w:val="2"/>
          <w:sz w:val="24"/>
          <w:szCs w:val="24"/>
          <w:lang w:val="en-US" w:eastAsia="zh-CN"/>
        </w:rPr>
        <w:t>本附录</w:t>
      </w:r>
      <w:r>
        <w:rPr>
          <w:rFonts w:hint="default" w:ascii="Times New Roman" w:hAnsi="Times New Roman" w:cs="Times New Roman"/>
          <w:kern w:val="2"/>
          <w:sz w:val="24"/>
          <w:szCs w:val="24"/>
        </w:rPr>
        <w:t>适用</w:t>
      </w:r>
      <w:r>
        <w:rPr>
          <w:rFonts w:hint="default" w:ascii="Times New Roman" w:hAnsi="Times New Roman" w:cs="Times New Roman"/>
          <w:kern w:val="2"/>
          <w:sz w:val="24"/>
          <w:szCs w:val="24"/>
          <w:lang w:val="en-US" w:eastAsia="zh-CN"/>
        </w:rPr>
        <w:t>于锰基新能源材料用电解金属锰中</w:t>
      </w:r>
      <w:r>
        <w:rPr>
          <w:rFonts w:hint="default" w:ascii="Times New Roman" w:hAnsi="Times New Roman" w:cs="Times New Roman"/>
          <w:kern w:val="2"/>
          <w:sz w:val="24"/>
          <w:szCs w:val="24"/>
        </w:rPr>
        <w:t>硒、铁、钙、镁、铝、铅、钛、铜、钴、镍、铬、锌、镉含量</w:t>
      </w:r>
      <w:r>
        <w:rPr>
          <w:rFonts w:hint="default" w:ascii="Times New Roman" w:hAnsi="Times New Roman" w:cs="Times New Roman"/>
          <w:kern w:val="2"/>
          <w:sz w:val="24"/>
          <w:szCs w:val="24"/>
          <w:lang w:val="en-US" w:eastAsia="zh-CN"/>
        </w:rPr>
        <w:t>的测定。测</w:t>
      </w:r>
      <w:r>
        <w:rPr>
          <w:rFonts w:hint="default" w:ascii="Times New Roman" w:hAnsi="Times New Roman" w:cs="Times New Roman"/>
          <w:sz w:val="24"/>
        </w:rPr>
        <w:t>定范围（质量分数,</w:t>
      </w:r>
      <w:r>
        <w:rPr>
          <w:rFonts w:hint="default" w:ascii="Times New Roman" w:hAnsi="Times New Roman" w:cs="Times New Roman"/>
          <w:sz w:val="24"/>
        </w:rPr>
        <w:t>ω</w:t>
      </w:r>
      <w:r>
        <w:rPr>
          <w:rFonts w:hint="default" w:ascii="Times New Roman" w:hAnsi="Times New Roman" w:cs="Times New Roman"/>
          <w:sz w:val="24"/>
        </w:rPr>
        <w:t>）≥0.0001%。</w:t>
      </w:r>
    </w:p>
    <w:p w14:paraId="018DC153">
      <w:pPr>
        <w:spacing w:line="360" w:lineRule="auto"/>
        <w:jc w:val="left"/>
        <w:rPr>
          <w:rFonts w:hint="default" w:ascii="Times New Roman" w:hAnsi="Times New Roman" w:cs="Times New Roman"/>
          <w:b/>
          <w:bCs/>
          <w:sz w:val="24"/>
        </w:rPr>
      </w:pPr>
      <w:r>
        <w:rPr>
          <w:rFonts w:hint="default" w:ascii="Times New Roman" w:hAnsi="Times New Roman" w:cs="Times New Roman"/>
          <w:b/>
          <w:bCs/>
          <w:sz w:val="24"/>
        </w:rPr>
        <w:t>C.</w:t>
      </w:r>
      <w:r>
        <w:rPr>
          <w:rFonts w:hint="default" w:ascii="Times New Roman" w:hAnsi="Times New Roman" w:cs="Times New Roman"/>
          <w:b/>
          <w:bCs/>
          <w:sz w:val="24"/>
          <w:lang w:val="en-US" w:eastAsia="zh-CN"/>
        </w:rPr>
        <w:t>2</w:t>
      </w:r>
      <w:r>
        <w:rPr>
          <w:rFonts w:hint="default" w:ascii="Times New Roman" w:hAnsi="Times New Roman" w:cs="Times New Roman"/>
          <w:b/>
          <w:bCs/>
          <w:sz w:val="24"/>
        </w:rPr>
        <w:t>方法原理</w:t>
      </w:r>
    </w:p>
    <w:p w14:paraId="254ADE71">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以硝酸分解试样，在酸性介质中，于电感耦合等离子体发射光谱仪的各元素特征波长处测量其光谱强度，计算各元素的量值。</w:t>
      </w:r>
    </w:p>
    <w:p w14:paraId="07E2298C">
      <w:pPr>
        <w:spacing w:line="360" w:lineRule="auto"/>
        <w:jc w:val="left"/>
        <w:rPr>
          <w:rFonts w:hint="default" w:ascii="Times New Roman" w:hAnsi="Times New Roman" w:cs="Times New Roman"/>
          <w:b/>
          <w:bCs/>
          <w:sz w:val="24"/>
        </w:rPr>
      </w:pPr>
      <w:r>
        <w:rPr>
          <w:rFonts w:hint="default" w:ascii="Times New Roman" w:hAnsi="Times New Roman" w:cs="Times New Roman"/>
          <w:b/>
          <w:bCs/>
          <w:sz w:val="24"/>
        </w:rPr>
        <w:t>C.</w:t>
      </w:r>
      <w:r>
        <w:rPr>
          <w:rFonts w:hint="default" w:ascii="Times New Roman" w:hAnsi="Times New Roman" w:cs="Times New Roman"/>
          <w:b/>
          <w:bCs/>
          <w:sz w:val="24"/>
          <w:lang w:val="en-US" w:eastAsia="zh-CN"/>
        </w:rPr>
        <w:t>3</w:t>
      </w:r>
      <w:r>
        <w:rPr>
          <w:rFonts w:hint="default" w:ascii="Times New Roman" w:hAnsi="Times New Roman" w:cs="Times New Roman"/>
          <w:b/>
          <w:bCs/>
          <w:sz w:val="24"/>
        </w:rPr>
        <w:t>试剂</w:t>
      </w:r>
    </w:p>
    <w:p w14:paraId="42C71BD3">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本标准所用试剂和水</w:t>
      </w:r>
      <w:r>
        <w:rPr>
          <w:rFonts w:hint="default" w:ascii="Times New Roman" w:hAnsi="Times New Roman" w:cs="Times New Roman"/>
          <w:sz w:val="24"/>
          <w:lang w:eastAsia="zh-CN"/>
        </w:rPr>
        <w:t>，</w:t>
      </w:r>
      <w:r>
        <w:rPr>
          <w:rFonts w:hint="default" w:ascii="Times New Roman" w:hAnsi="Times New Roman" w:cs="Times New Roman"/>
          <w:sz w:val="24"/>
        </w:rPr>
        <w:t>在没有注明其他要求时</w:t>
      </w:r>
      <w:r>
        <w:rPr>
          <w:rFonts w:hint="default" w:ascii="Times New Roman" w:hAnsi="Times New Roman" w:cs="Times New Roman"/>
          <w:sz w:val="24"/>
          <w:lang w:eastAsia="zh-CN"/>
        </w:rPr>
        <w:t>，</w:t>
      </w:r>
      <w:r>
        <w:rPr>
          <w:rFonts w:hint="default" w:ascii="Times New Roman" w:hAnsi="Times New Roman" w:cs="Times New Roman"/>
          <w:sz w:val="24"/>
        </w:rPr>
        <w:t>均指分析纯试剂和GB/T 6682中规定的三级水。</w:t>
      </w:r>
    </w:p>
    <w:p w14:paraId="2918F278">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C.</w:t>
      </w:r>
      <w:r>
        <w:rPr>
          <w:rFonts w:hint="default" w:ascii="Times New Roman" w:hAnsi="Times New Roman" w:cs="Times New Roman"/>
          <w:sz w:val="24"/>
          <w:lang w:val="en-US" w:eastAsia="zh-CN"/>
        </w:rPr>
        <w:t>3</w:t>
      </w:r>
      <w:r>
        <w:rPr>
          <w:rFonts w:hint="default" w:ascii="Times New Roman" w:hAnsi="Times New Roman" w:cs="Times New Roman"/>
          <w:sz w:val="24"/>
        </w:rPr>
        <w:t>.1 硝酸（ρ=1.42g/mL）,优级纯</w:t>
      </w:r>
      <w:r>
        <w:rPr>
          <w:rFonts w:hint="default" w:ascii="Times New Roman" w:hAnsi="Times New Roman" w:cs="Times New Roman"/>
          <w:sz w:val="24"/>
          <w:lang w:eastAsia="zh-CN"/>
        </w:rPr>
        <w:t>。</w:t>
      </w:r>
    </w:p>
    <w:p w14:paraId="3D5E4839">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C.</w:t>
      </w:r>
      <w:r>
        <w:rPr>
          <w:rFonts w:hint="default" w:ascii="Times New Roman" w:hAnsi="Times New Roman" w:cs="Times New Roman"/>
          <w:sz w:val="24"/>
          <w:lang w:val="en-US" w:eastAsia="zh-CN"/>
        </w:rPr>
        <w:t>3</w:t>
      </w:r>
      <w:r>
        <w:rPr>
          <w:rFonts w:hint="default" w:ascii="Times New Roman" w:hAnsi="Times New Roman" w:cs="Times New Roman"/>
          <w:sz w:val="24"/>
        </w:rPr>
        <w:t>.2 硒、铁、钙、镁、铝、铅、钛、铜、钴、镍、铬、锌、镉等单元素标准溶液（1000μg/mL）,稀释至100μg/mL</w:t>
      </w:r>
      <w:r>
        <w:rPr>
          <w:rFonts w:hint="default" w:ascii="Times New Roman" w:hAnsi="Times New Roman" w:cs="Times New Roman"/>
          <w:sz w:val="24"/>
          <w:lang w:val="en-US" w:eastAsia="zh-CN"/>
        </w:rPr>
        <w:t>。</w:t>
      </w:r>
    </w:p>
    <w:p w14:paraId="0802AE67">
      <w:pPr>
        <w:spacing w:line="360" w:lineRule="auto"/>
        <w:jc w:val="left"/>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3</w:t>
      </w:r>
      <w:r>
        <w:rPr>
          <w:rFonts w:hint="default" w:ascii="Times New Roman" w:hAnsi="Times New Roman" w:cs="Times New Roman"/>
          <w:sz w:val="24"/>
        </w:rPr>
        <w:t>.3 使用前将标准溶液放置常温处，待温度与室温相同后逐级稀释标准溶液，每单个元素的浓度梯度分别为0.00μg/mL、1.00μg/mL、2.00μg/mL、3.00μg/mL、4.00μg/mL、5.00μg/mL。</w:t>
      </w:r>
    </w:p>
    <w:p w14:paraId="6C8E283C">
      <w:pPr>
        <w:spacing w:line="360" w:lineRule="auto"/>
        <w:jc w:val="left"/>
        <w:rPr>
          <w:rFonts w:hint="default" w:ascii="Times New Roman" w:hAnsi="Times New Roman" w:cs="Times New Roman"/>
          <w:b/>
          <w:bCs/>
          <w:sz w:val="24"/>
        </w:rPr>
      </w:pPr>
      <w:r>
        <w:rPr>
          <w:rFonts w:hint="default" w:ascii="Times New Roman" w:hAnsi="Times New Roman" w:cs="Times New Roman"/>
          <w:b/>
          <w:bCs/>
          <w:sz w:val="24"/>
        </w:rPr>
        <w:t>C.</w:t>
      </w:r>
      <w:r>
        <w:rPr>
          <w:rFonts w:hint="default" w:ascii="Times New Roman" w:hAnsi="Times New Roman" w:cs="Times New Roman"/>
          <w:b/>
          <w:bCs/>
          <w:sz w:val="24"/>
          <w:lang w:val="en-US" w:eastAsia="zh-CN"/>
        </w:rPr>
        <w:t>4</w:t>
      </w:r>
      <w:r>
        <w:rPr>
          <w:rFonts w:hint="default" w:ascii="Times New Roman" w:hAnsi="Times New Roman" w:cs="Times New Roman"/>
          <w:b/>
          <w:bCs/>
          <w:sz w:val="24"/>
        </w:rPr>
        <w:t>分析步骤</w:t>
      </w:r>
    </w:p>
    <w:p w14:paraId="3A157DD6">
      <w:pPr>
        <w:spacing w:line="360" w:lineRule="auto"/>
        <w:jc w:val="left"/>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4</w:t>
      </w:r>
      <w:r>
        <w:rPr>
          <w:rFonts w:hint="default" w:ascii="Times New Roman" w:hAnsi="Times New Roman" w:cs="Times New Roman"/>
          <w:sz w:val="24"/>
        </w:rPr>
        <w:t>.1试样的溶解</w:t>
      </w:r>
    </w:p>
    <w:p w14:paraId="5EE3CFDB">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称取1.0000g试样，精确至0.0001g。置于100mL高型烧杯中，加入10mL硝酸（见C.</w:t>
      </w:r>
      <w:r>
        <w:rPr>
          <w:rFonts w:hint="default" w:ascii="Times New Roman" w:hAnsi="Times New Roman" w:cs="Times New Roman"/>
          <w:sz w:val="24"/>
          <w:lang w:val="en-US" w:eastAsia="zh-CN"/>
        </w:rPr>
        <w:t>3</w:t>
      </w:r>
      <w:r>
        <w:rPr>
          <w:rFonts w:hint="default" w:ascii="Times New Roman" w:hAnsi="Times New Roman" w:cs="Times New Roman"/>
          <w:sz w:val="24"/>
        </w:rPr>
        <w:t>.1）溶解，待试样澄清后，转移至100mL容量瓶中，以水稀释至刻度，混匀（若混浊，以快速滤纸干过滤）。随同试样做空白试验。</w:t>
      </w:r>
    </w:p>
    <w:p w14:paraId="142ACCC1">
      <w:pPr>
        <w:spacing w:line="360" w:lineRule="auto"/>
        <w:jc w:val="left"/>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4</w:t>
      </w:r>
      <w:r>
        <w:rPr>
          <w:rFonts w:hint="default" w:ascii="Times New Roman" w:hAnsi="Times New Roman" w:cs="Times New Roman"/>
          <w:sz w:val="24"/>
        </w:rPr>
        <w:t>.2试样的测定</w:t>
      </w:r>
    </w:p>
    <w:p w14:paraId="2FF54B37">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测量打开仪器预热30min以上，按电感耦合等离子体发射光谱仪的使用说明书和分析要求设置分析条件，于各元素特征波长（根据仪器自身条件选定合适的波长）处测量不同元素的光谱强度，从各元素校准曲线上查出相应的元素量。</w:t>
      </w:r>
    </w:p>
    <w:p w14:paraId="753B44D6">
      <w:pPr>
        <w:spacing w:line="360" w:lineRule="auto"/>
        <w:jc w:val="left"/>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4</w:t>
      </w:r>
      <w:r>
        <w:rPr>
          <w:rFonts w:hint="default" w:ascii="Times New Roman" w:hAnsi="Times New Roman" w:cs="Times New Roman"/>
          <w:sz w:val="24"/>
        </w:rPr>
        <w:t>.3校准曲线的绘制</w:t>
      </w:r>
    </w:p>
    <w:p w14:paraId="4F2AF239">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分别用0.00μg/mL、1.00μg/mL、2.00μg/mL、3.00μg/mL、4.00μg/mL、5.00μg/mL的标准溶液绘制各元素的标准曲线（可根据样品含量调绘制整校准曲线标准溶液的浓度），分别测量其中各组分的光谱强度。以横坐标为标准浓度，纵坐标为光谱强度绘制校准曲线，其线性相关系数应不小于0.999。</w:t>
      </w:r>
    </w:p>
    <w:p w14:paraId="40C0C4C2">
      <w:pPr>
        <w:spacing w:line="360" w:lineRule="auto"/>
        <w:jc w:val="left"/>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4</w:t>
      </w:r>
      <w:r>
        <w:rPr>
          <w:rFonts w:hint="default" w:ascii="Times New Roman" w:hAnsi="Times New Roman" w:cs="Times New Roman"/>
          <w:sz w:val="24"/>
        </w:rPr>
        <w:t>.4元素测定波长（nm）</w:t>
      </w:r>
    </w:p>
    <w:p w14:paraId="25BFC07C">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根据仪器提供元素测定波长选择最佳分析谱线。</w:t>
      </w:r>
    </w:p>
    <w:p w14:paraId="6A9A293A">
      <w:pPr>
        <w:spacing w:line="360" w:lineRule="auto"/>
        <w:jc w:val="left"/>
        <w:rPr>
          <w:rFonts w:hint="default" w:ascii="Times New Roman" w:hAnsi="Times New Roman" w:cs="Times New Roman"/>
          <w:b/>
          <w:bCs/>
          <w:sz w:val="24"/>
        </w:rPr>
      </w:pPr>
      <w:r>
        <w:rPr>
          <w:rFonts w:hint="default" w:ascii="Times New Roman" w:hAnsi="Times New Roman" w:cs="Times New Roman"/>
          <w:b/>
          <w:bCs/>
          <w:sz w:val="24"/>
        </w:rPr>
        <w:t>C.</w:t>
      </w:r>
      <w:r>
        <w:rPr>
          <w:rFonts w:hint="default" w:ascii="Times New Roman" w:hAnsi="Times New Roman" w:cs="Times New Roman"/>
          <w:b/>
          <w:bCs/>
          <w:sz w:val="24"/>
          <w:lang w:val="en-US" w:eastAsia="zh-CN"/>
        </w:rPr>
        <w:t>5</w:t>
      </w:r>
      <w:r>
        <w:rPr>
          <w:rFonts w:hint="default" w:ascii="Times New Roman" w:hAnsi="Times New Roman" w:cs="Times New Roman"/>
          <w:b/>
          <w:bCs/>
          <w:sz w:val="24"/>
        </w:rPr>
        <w:t>分析结果的计算</w:t>
      </w:r>
    </w:p>
    <w:p w14:paraId="358D89B4">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按下式计算待测元素的百分含量(质量分数)，数值以%表示：</w:t>
      </w:r>
    </w:p>
    <w:p w14:paraId="13125310">
      <w:pPr>
        <w:spacing w:line="360" w:lineRule="auto"/>
        <w:jc w:val="center"/>
        <w:rPr>
          <w:rFonts w:hint="default" w:ascii="Times New Roman" w:hAnsi="Times New Roman" w:eastAsia="宋体" w:cs="Times New Roman"/>
          <w:iCs/>
          <w:sz w:val="22"/>
          <w:szCs w:val="36"/>
          <w:lang w:val="en-US" w:eastAsia="zh-CN"/>
        </w:rPr>
      </w:pPr>
      <w:r>
        <w:rPr>
          <w:rFonts w:hint="default" w:ascii="Times New Roman" w:hAnsi="Times New Roman" w:cs="Times New Roman"/>
          <w:b w:val="0"/>
          <w:i w:val="0"/>
          <w:sz w:val="22"/>
          <w:szCs w:val="36"/>
          <w:lang w:val="en-US" w:eastAsia="zh-CN"/>
        </w:rPr>
        <w:t xml:space="preserve">                       </w:t>
      </w:r>
      <m:oMath>
        <m:r>
          <m:rPr>
            <m:nor/>
          </m:rPr>
          <w:rPr>
            <w:rFonts w:hint="default" w:ascii="Times New Roman" w:hAnsi="Times New Roman" w:cs="Times New Roman"/>
            <w:i/>
            <w:sz w:val="28"/>
            <w:szCs w:val="44"/>
          </w:rPr>
          <m:t>ω</m:t>
        </m:r>
        <m:r>
          <m:rPr>
            <m:nor/>
            <m:sty m:val="p"/>
          </m:rPr>
          <w:rPr>
            <w:rFonts w:hint="default" w:ascii="Times New Roman" w:hAnsi="Times New Roman" w:cs="Times New Roman"/>
            <w:i w:val="0"/>
            <w:sz w:val="28"/>
            <w:szCs w:val="44"/>
          </w:rPr>
          <m:t>=</m:t>
        </m:r>
        <m:f>
          <m:fPr>
            <m:ctrlPr>
              <w:rPr>
                <w:rFonts w:hint="default" w:ascii="Cambria Math" w:hAnsi="Cambria Math" w:cs="Times New Roman"/>
                <w:i/>
                <w:iCs/>
                <w:sz w:val="28"/>
                <w:szCs w:val="44"/>
              </w:rPr>
            </m:ctrlPr>
          </m:fPr>
          <m:num>
            <m:r>
              <m:rPr>
                <m:nor/>
              </m:rPr>
              <w:rPr>
                <w:rFonts w:hint="default" w:ascii="Times New Roman" w:hAnsi="Times New Roman" w:cs="Times New Roman"/>
                <w:i/>
                <w:sz w:val="28"/>
                <w:szCs w:val="44"/>
              </w:rPr>
              <m:t>C</m:t>
            </m:r>
            <m:r>
              <m:rPr>
                <m:nor/>
                <m:sty m:val="p"/>
              </m:rPr>
              <w:rPr>
                <w:rFonts w:hint="default" w:ascii="Times New Roman" w:hAnsi="Times New Roman" w:cs="Times New Roman"/>
                <w:i w:val="0"/>
                <w:sz w:val="28"/>
                <w:szCs w:val="44"/>
              </w:rPr>
              <m:t>×</m:t>
            </m:r>
            <m:r>
              <m:rPr>
                <m:nor/>
              </m:rPr>
              <w:rPr>
                <w:rFonts w:hint="default" w:ascii="Times New Roman" w:hAnsi="Times New Roman" w:cs="Times New Roman"/>
                <w:i/>
                <w:sz w:val="28"/>
                <w:szCs w:val="44"/>
              </w:rPr>
              <m:t>f</m:t>
            </m:r>
            <m:sSup>
              <m:sSupPr>
                <m:ctrlPr>
                  <w:rPr>
                    <w:rFonts w:hint="default" w:ascii="Cambria Math" w:hAnsi="Cambria Math" w:cs="Times New Roman"/>
                    <w:i/>
                    <w:iCs/>
                    <w:sz w:val="28"/>
                    <w:szCs w:val="44"/>
                  </w:rPr>
                </m:ctrlPr>
              </m:sSupPr>
              <m:e>
                <m:r>
                  <m:rPr>
                    <m:nor/>
                    <m:sty m:val="p"/>
                  </m:rPr>
                  <w:rPr>
                    <w:rFonts w:hint="default" w:ascii="Times New Roman" w:hAnsi="Times New Roman" w:cs="Times New Roman"/>
                    <w:i w:val="0"/>
                    <w:sz w:val="28"/>
                    <w:szCs w:val="44"/>
                  </w:rPr>
                  <m:t>×</m:t>
                </m:r>
                <m:r>
                  <m:rPr>
                    <m:nor/>
                  </m:rPr>
                  <w:rPr>
                    <w:rFonts w:hint="default" w:ascii="Times New Roman" w:hAnsi="Times New Roman" w:cs="Times New Roman"/>
                    <w:i/>
                    <w:sz w:val="28"/>
                    <w:szCs w:val="44"/>
                  </w:rPr>
                  <m:t>V</m:t>
                </m:r>
                <m:r>
                  <m:rPr>
                    <m:nor/>
                    <m:sty m:val="p"/>
                  </m:rPr>
                  <w:rPr>
                    <w:rFonts w:hint="default" w:ascii="Times New Roman" w:hAnsi="Times New Roman" w:cs="Times New Roman"/>
                    <w:i w:val="0"/>
                    <w:sz w:val="28"/>
                    <w:szCs w:val="44"/>
                  </w:rPr>
                  <m:t>×10</m:t>
                </m:r>
                <m:ctrlPr>
                  <w:rPr>
                    <w:rFonts w:hint="default" w:ascii="Cambria Math" w:hAnsi="Cambria Math" w:cs="Times New Roman"/>
                    <w:i/>
                    <w:iCs/>
                    <w:sz w:val="28"/>
                    <w:szCs w:val="44"/>
                  </w:rPr>
                </m:ctrlPr>
              </m:e>
              <m:sup>
                <m:r>
                  <m:rPr>
                    <m:nor/>
                    <m:sty m:val="p"/>
                  </m:rPr>
                  <w:rPr>
                    <w:rFonts w:hint="default" w:ascii="Times New Roman" w:hAnsi="Times New Roman" w:cs="Times New Roman"/>
                    <w:i w:val="0"/>
                    <w:sz w:val="28"/>
                    <w:szCs w:val="44"/>
                  </w:rPr>
                  <m:t>−6</m:t>
                </m:r>
                <m:ctrlPr>
                  <w:rPr>
                    <w:rFonts w:hint="default" w:ascii="Cambria Math" w:hAnsi="Cambria Math" w:cs="Times New Roman"/>
                    <w:i/>
                    <w:iCs/>
                    <w:sz w:val="28"/>
                    <w:szCs w:val="44"/>
                  </w:rPr>
                </m:ctrlPr>
              </m:sup>
            </m:sSup>
            <m:ctrlPr>
              <w:rPr>
                <w:rFonts w:hint="default" w:ascii="Cambria Math" w:hAnsi="Cambria Math" w:cs="Times New Roman"/>
                <w:i/>
                <w:iCs/>
                <w:sz w:val="28"/>
                <w:szCs w:val="44"/>
              </w:rPr>
            </m:ctrlPr>
          </m:num>
          <m:den>
            <m:sSub>
              <m:sSubPr>
                <m:ctrlPr>
                  <w:rPr>
                    <w:rFonts w:hint="default" w:ascii="Cambria Math" w:hAnsi="Cambria Math" w:cs="Times New Roman"/>
                    <w:i/>
                    <w:iCs/>
                    <w:sz w:val="28"/>
                    <w:szCs w:val="44"/>
                  </w:rPr>
                </m:ctrlPr>
              </m:sSubPr>
              <m:e>
                <m:r>
                  <m:rPr>
                    <m:nor/>
                  </m:rPr>
                  <w:rPr>
                    <w:rFonts w:hint="default" w:ascii="Times New Roman" w:hAnsi="Times New Roman" w:cs="Times New Roman"/>
                    <w:i/>
                    <w:sz w:val="28"/>
                    <w:szCs w:val="44"/>
                  </w:rPr>
                  <m:t>m</m:t>
                </m:r>
                <m:ctrlPr>
                  <w:rPr>
                    <w:rFonts w:hint="default" w:ascii="Cambria Math" w:hAnsi="Cambria Math" w:cs="Times New Roman"/>
                    <w:i/>
                    <w:iCs/>
                    <w:sz w:val="28"/>
                    <w:szCs w:val="44"/>
                  </w:rPr>
                </m:ctrlPr>
              </m:e>
              <m:sub>
                <m:r>
                  <m:rPr>
                    <m:nor/>
                    <m:sty m:val="p"/>
                  </m:rPr>
                  <w:rPr>
                    <w:rFonts w:hint="default" w:ascii="Times New Roman" w:hAnsi="Times New Roman" w:cs="Times New Roman"/>
                    <w:i w:val="0"/>
                    <w:sz w:val="28"/>
                    <w:szCs w:val="44"/>
                  </w:rPr>
                  <m:t>0</m:t>
                </m:r>
                <m:ctrlPr>
                  <w:rPr>
                    <w:rFonts w:hint="default" w:ascii="Cambria Math" w:hAnsi="Cambria Math" w:cs="Times New Roman"/>
                    <w:i/>
                    <w:iCs/>
                    <w:sz w:val="28"/>
                    <w:szCs w:val="44"/>
                  </w:rPr>
                </m:ctrlPr>
              </m:sub>
            </m:sSub>
            <m:ctrlPr>
              <w:rPr>
                <w:rFonts w:hint="default" w:ascii="Cambria Math" w:hAnsi="Cambria Math" w:cs="Times New Roman"/>
                <w:i/>
                <w:iCs/>
                <w:sz w:val="28"/>
                <w:szCs w:val="44"/>
              </w:rPr>
            </m:ctrlPr>
          </m:den>
        </m:f>
        <m:r>
          <m:rPr>
            <m:nor/>
            <m:sty m:val="p"/>
          </m:rPr>
          <w:rPr>
            <w:rFonts w:hint="default" w:ascii="Times New Roman" w:hAnsi="Times New Roman" w:cs="Times New Roman"/>
            <w:b w:val="0"/>
            <w:i w:val="0"/>
            <w:sz w:val="28"/>
            <w:szCs w:val="44"/>
          </w:rPr>
          <m:t>×100%</m:t>
        </m:r>
      </m:oMath>
      <w:r>
        <w:rPr>
          <w:rFonts w:hint="default" w:ascii="Times New Roman" w:hAnsi="Times New Roman" w:cs="Times New Roman"/>
          <w:b w:val="0"/>
          <w:i w:val="0"/>
          <w:sz w:val="28"/>
          <w:szCs w:val="44"/>
          <w:lang w:val="en-US" w:eastAsia="zh-CN"/>
        </w:rPr>
        <w:t xml:space="preserve"> </w:t>
      </w:r>
      <w:r>
        <w:rPr>
          <w:rFonts w:hint="default" w:ascii="Times New Roman" w:hAnsi="Times New Roman" w:cs="Times New Roman"/>
          <w:b w:val="0"/>
          <w:i w:val="0"/>
          <w:sz w:val="22"/>
          <w:szCs w:val="36"/>
          <w:lang w:val="en-US" w:eastAsia="zh-CN"/>
        </w:rPr>
        <w:t xml:space="preserve">                  </w:t>
      </w:r>
      <w:r>
        <w:rPr>
          <w:rFonts w:hint="default" w:ascii="Times New Roman" w:hAnsi="Times New Roman" w:cs="Times New Roman"/>
          <w:b w:val="0"/>
          <w:i w:val="0"/>
          <w:szCs w:val="36"/>
          <w:lang w:val="en-US" w:eastAsia="zh-CN"/>
        </w:rPr>
        <w:t>（C.1）</w:t>
      </w:r>
    </w:p>
    <w:p w14:paraId="763C72B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式中：</w:t>
      </w:r>
    </w:p>
    <w:p w14:paraId="41ADDF18">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C</w:t>
      </w:r>
      <w:r>
        <w:rPr>
          <w:rFonts w:hint="default" w:ascii="Times New Roman" w:hAnsi="Times New Roman" w:cs="Times New Roman"/>
          <w:sz w:val="24"/>
        </w:rPr>
        <w:t>—测得的试液中元素的浓度，单位为微克每毫升(μg/mL)；</w:t>
      </w:r>
    </w:p>
    <w:p w14:paraId="6300655C">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f</w:t>
      </w:r>
      <w:r>
        <w:rPr>
          <w:rFonts w:hint="default" w:ascii="Times New Roman" w:hAnsi="Times New Roman" w:cs="Times New Roman"/>
          <w:sz w:val="24"/>
        </w:rPr>
        <w:t>—稀释倍数；</w:t>
      </w:r>
    </w:p>
    <w:p w14:paraId="59EA36A9">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V</w:t>
      </w:r>
      <w:r>
        <w:rPr>
          <w:rFonts w:hint="default" w:ascii="Times New Roman" w:hAnsi="Times New Roman" w:cs="Times New Roman"/>
          <w:sz w:val="24"/>
        </w:rPr>
        <w:t>—溶液总体积，单位为毫升（mL）；</w:t>
      </w:r>
    </w:p>
    <w:p w14:paraId="4EB29E51">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m</w:t>
      </w:r>
      <w:r>
        <w:rPr>
          <w:rFonts w:hint="default" w:ascii="Times New Roman" w:hAnsi="Times New Roman" w:cs="Times New Roman"/>
          <w:i/>
          <w:iCs/>
          <w:sz w:val="24"/>
          <w:vertAlign w:val="subscript"/>
        </w:rPr>
        <w:t>0</w:t>
      </w:r>
      <w:r>
        <w:rPr>
          <w:rFonts w:hint="default" w:ascii="Times New Roman" w:hAnsi="Times New Roman" w:cs="Times New Roman"/>
          <w:sz w:val="24"/>
        </w:rPr>
        <w:t>—称取的试样量，单位为克（g）。</w:t>
      </w:r>
    </w:p>
    <w:p w14:paraId="7FAD978F">
      <w:pPr>
        <w:pStyle w:val="9"/>
        <w:spacing w:line="360" w:lineRule="auto"/>
        <w:jc w:val="left"/>
        <w:rPr>
          <w:rFonts w:hint="default" w:ascii="Times New Roman" w:hAnsi="Times New Roman" w:cs="Times New Roman"/>
          <w:b/>
          <w:bCs/>
          <w:sz w:val="24"/>
          <w:szCs w:val="24"/>
        </w:rPr>
        <w:sectPr>
          <w:pgSz w:w="11911" w:h="16838"/>
          <w:pgMar w:top="1134" w:right="1417" w:bottom="1134" w:left="1417" w:header="1134" w:footer="850" w:gutter="0"/>
          <w:pgNumType w:fmt="decimal"/>
          <w:cols w:space="0" w:num="1"/>
          <w:formProt w:val="0"/>
          <w:docGrid w:linePitch="312" w:charSpace="0"/>
        </w:sectPr>
      </w:pPr>
      <w:bookmarkStart w:id="74" w:name="_Toc27856"/>
    </w:p>
    <w:bookmarkEnd w:id="74"/>
    <w:p w14:paraId="66E674BB">
      <w:pPr>
        <w:pStyle w:val="9"/>
        <w:spacing w:line="360" w:lineRule="auto"/>
        <w:jc w:val="center"/>
        <w:outlineLvl w:val="0"/>
        <w:rPr>
          <w:rFonts w:hint="default" w:ascii="Times New Roman" w:hAnsi="Times New Roman" w:cs="Times New Roman"/>
          <w:b/>
          <w:sz w:val="24"/>
          <w:szCs w:val="24"/>
        </w:rPr>
      </w:pPr>
      <w:bookmarkStart w:id="75" w:name="_Toc5526"/>
      <w:bookmarkStart w:id="76" w:name="_Toc25489"/>
      <w:bookmarkStart w:id="77" w:name="_Toc3512"/>
      <w:bookmarkStart w:id="78" w:name="_Toc26573"/>
      <w:bookmarkStart w:id="79" w:name="_Toc14879"/>
      <w:r>
        <w:rPr>
          <w:rFonts w:hint="default" w:ascii="Times New Roman" w:hAnsi="Times New Roman" w:cs="Times New Roman"/>
          <w:b/>
          <w:sz w:val="24"/>
          <w:szCs w:val="24"/>
        </w:rPr>
        <w:t>附 录</w:t>
      </w:r>
      <w:bookmarkEnd w:id="75"/>
      <w:r>
        <w:rPr>
          <w:rFonts w:hint="default" w:ascii="Times New Roman" w:hAnsi="Times New Roman" w:cs="Times New Roman"/>
          <w:b/>
          <w:sz w:val="24"/>
          <w:szCs w:val="24"/>
        </w:rPr>
        <w:t>D</w:t>
      </w:r>
      <w:bookmarkEnd w:id="76"/>
      <w:bookmarkEnd w:id="77"/>
      <w:bookmarkEnd w:id="78"/>
    </w:p>
    <w:p w14:paraId="74EC9E9D">
      <w:pPr>
        <w:pStyle w:val="9"/>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（规范性）</w:t>
      </w:r>
    </w:p>
    <w:p w14:paraId="5DDF77D4">
      <w:pPr>
        <w:pStyle w:val="9"/>
        <w:spacing w:line="360" w:lineRule="auto"/>
        <w:jc w:val="center"/>
        <w:rPr>
          <w:rFonts w:hint="default" w:ascii="Times New Roman" w:hAnsi="Times New Roman" w:cs="Times New Roman"/>
          <w:sz w:val="24"/>
          <w:szCs w:val="24"/>
        </w:rPr>
      </w:pPr>
      <w:r>
        <w:rPr>
          <w:rFonts w:hint="default" w:ascii="Times New Roman" w:hAnsi="Times New Roman" w:cs="Times New Roman"/>
          <w:b/>
          <w:bCs/>
          <w:sz w:val="24"/>
          <w:szCs w:val="24"/>
        </w:rPr>
        <w:t>钾含量的测定</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火焰原子吸收光谱法</w:t>
      </w:r>
    </w:p>
    <w:bookmarkEnd w:id="79"/>
    <w:p w14:paraId="7C4C3708">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D.1范围</w:t>
      </w:r>
    </w:p>
    <w:p w14:paraId="4D9B8A9E">
      <w:pPr>
        <w:pStyle w:val="128"/>
        <w:numPr>
          <w:ilvl w:val="0"/>
          <w:numId w:val="0"/>
        </w:numPr>
        <w:snapToGrid w:val="0"/>
        <w:spacing w:line="360" w:lineRule="auto"/>
        <w:ind w:firstLine="420" w:firstLineChars="175"/>
        <w:contextualSpacing/>
        <w:jc w:val="left"/>
        <w:rPr>
          <w:rFonts w:hint="default" w:ascii="Times New Roman" w:hAnsi="Times New Roman" w:eastAsia="宋体" w:cs="Times New Roman"/>
          <w:kern w:val="2"/>
          <w:sz w:val="24"/>
          <w:szCs w:val="24"/>
          <w:lang w:val="en-US" w:eastAsia="zh-CN"/>
        </w:rPr>
      </w:pPr>
      <w:r>
        <w:rPr>
          <w:rFonts w:hint="default" w:ascii="Times New Roman" w:hAnsi="Times New Roman" w:cs="Times New Roman"/>
          <w:kern w:val="2"/>
          <w:sz w:val="24"/>
          <w:szCs w:val="24"/>
        </w:rPr>
        <w:t>本</w:t>
      </w:r>
      <w:r>
        <w:rPr>
          <w:rFonts w:hint="default" w:ascii="Times New Roman" w:hAnsi="Times New Roman" w:cs="Times New Roman"/>
          <w:kern w:val="2"/>
          <w:sz w:val="24"/>
          <w:szCs w:val="24"/>
          <w:lang w:val="en-US" w:eastAsia="zh-CN"/>
        </w:rPr>
        <w:t>附录规定了火焰原子吸收光谱法测量钾含量的方法原理、试剂和材料、仪器和设备、测定。</w:t>
      </w:r>
    </w:p>
    <w:p w14:paraId="47361C5C">
      <w:pPr>
        <w:pStyle w:val="58"/>
        <w:tabs>
          <w:tab w:val="left" w:pos="641"/>
        </w:tabs>
        <w:spacing w:before="0" w:line="360" w:lineRule="auto"/>
        <w:ind w:left="0" w:firstLine="480" w:firstLineChars="200"/>
        <w:jc w:val="left"/>
        <w:rPr>
          <w:rFonts w:hint="default" w:ascii="Times New Roman" w:hAnsi="Times New Roman" w:cs="Times New Roman"/>
          <w:sz w:val="24"/>
        </w:rPr>
      </w:pPr>
      <w:r>
        <w:rPr>
          <w:rFonts w:hint="default" w:ascii="Times New Roman" w:hAnsi="Times New Roman" w:cs="Times New Roman"/>
          <w:kern w:val="2"/>
          <w:sz w:val="24"/>
          <w:szCs w:val="24"/>
          <w:lang w:val="en-US" w:eastAsia="zh-CN"/>
        </w:rPr>
        <w:t>本附录</w:t>
      </w:r>
      <w:r>
        <w:rPr>
          <w:rFonts w:hint="default" w:ascii="Times New Roman" w:hAnsi="Times New Roman" w:cs="Times New Roman"/>
          <w:kern w:val="2"/>
          <w:sz w:val="24"/>
          <w:szCs w:val="24"/>
        </w:rPr>
        <w:t>适用</w:t>
      </w:r>
      <w:r>
        <w:rPr>
          <w:rFonts w:hint="default" w:ascii="Times New Roman" w:hAnsi="Times New Roman" w:cs="Times New Roman"/>
          <w:kern w:val="2"/>
          <w:sz w:val="24"/>
          <w:szCs w:val="24"/>
          <w:lang w:val="en-US" w:eastAsia="zh-CN"/>
        </w:rPr>
        <w:t>于锰基新能源材料用电解金属锰中</w:t>
      </w:r>
      <w:r>
        <w:rPr>
          <w:rFonts w:hint="default" w:ascii="Times New Roman" w:hAnsi="Times New Roman" w:cs="Times New Roman"/>
          <w:kern w:val="2"/>
          <w:sz w:val="24"/>
          <w:szCs w:val="24"/>
        </w:rPr>
        <w:t>钾含量</w:t>
      </w:r>
      <w:r>
        <w:rPr>
          <w:rFonts w:hint="default" w:ascii="Times New Roman" w:hAnsi="Times New Roman" w:cs="Times New Roman"/>
          <w:kern w:val="2"/>
          <w:sz w:val="24"/>
          <w:szCs w:val="24"/>
          <w:lang w:val="en-US" w:eastAsia="zh-CN"/>
        </w:rPr>
        <w:t>的测定。测</w:t>
      </w:r>
      <w:r>
        <w:rPr>
          <w:rFonts w:hint="default" w:ascii="Times New Roman" w:hAnsi="Times New Roman" w:cs="Times New Roman"/>
          <w:sz w:val="24"/>
        </w:rPr>
        <w:t>定范围（质量分数,</w:t>
      </w:r>
      <w:r>
        <w:rPr>
          <w:rFonts w:hint="default" w:ascii="Times New Roman" w:hAnsi="Times New Roman" w:cs="Times New Roman"/>
          <w:sz w:val="24"/>
        </w:rPr>
        <w:t>ω</w:t>
      </w:r>
      <w:r>
        <w:rPr>
          <w:rFonts w:hint="default" w:ascii="Times New Roman" w:hAnsi="Times New Roman" w:cs="Times New Roman"/>
          <w:sz w:val="24"/>
        </w:rPr>
        <w:t>）≥0.0001%。</w:t>
      </w:r>
    </w:p>
    <w:p w14:paraId="700D8324">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D.2方法原理</w:t>
      </w:r>
    </w:p>
    <w:p w14:paraId="569BE037">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试样经硝酸溶解后，将试样喷入空气-乙块火焰中，用钾空心阴极灯作光源，于原子吸收光谱仪波长766.49nm处测量吸收光度，从而确定钾或氧化钾的含量。</w:t>
      </w:r>
    </w:p>
    <w:p w14:paraId="1B39CAD1">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D.3试剂和材料</w:t>
      </w:r>
    </w:p>
    <w:p w14:paraId="144BE10C">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除非另有说明，在分析中仅使用确认为分析纯的试剂。本方法所用的水全部为符合 GB/T 6682规定的一级水。</w:t>
      </w:r>
    </w:p>
    <w:p w14:paraId="38DD5379">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D.3.1 硝酸(ρ=1.42g/mL)，优级纯</w:t>
      </w:r>
      <w:r>
        <w:rPr>
          <w:rFonts w:hint="default" w:ascii="Times New Roman" w:hAnsi="Times New Roman" w:cs="Times New Roman"/>
          <w:sz w:val="24"/>
          <w:lang w:eastAsia="zh-CN"/>
        </w:rPr>
        <w:t>。</w:t>
      </w:r>
    </w:p>
    <w:p w14:paraId="6CA57320">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D.3.2 钾单元素标准溶液（1000μg/mL），逐级稀释至10μg/mL</w:t>
      </w:r>
      <w:r>
        <w:rPr>
          <w:rFonts w:hint="default" w:ascii="Times New Roman" w:hAnsi="Times New Roman" w:cs="Times New Roman"/>
          <w:sz w:val="24"/>
          <w:lang w:eastAsia="zh-CN"/>
        </w:rPr>
        <w:t>。</w:t>
      </w:r>
    </w:p>
    <w:p w14:paraId="71667128">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D.3.3 盐酸(ρ=1.19g/ml)，优级纯</w:t>
      </w:r>
      <w:r>
        <w:rPr>
          <w:rFonts w:hint="default" w:ascii="Times New Roman" w:hAnsi="Times New Roman" w:cs="Times New Roman"/>
          <w:sz w:val="24"/>
          <w:lang w:eastAsia="zh-CN"/>
        </w:rPr>
        <w:t>。</w:t>
      </w:r>
    </w:p>
    <w:p w14:paraId="0BF411D8">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D.3.4 过氧化氢(体积分数为30%)</w:t>
      </w:r>
      <w:r>
        <w:rPr>
          <w:rFonts w:hint="default" w:ascii="Times New Roman" w:hAnsi="Times New Roman" w:cs="Times New Roman"/>
          <w:sz w:val="24"/>
          <w:lang w:eastAsia="zh-CN"/>
        </w:rPr>
        <w:t>。</w:t>
      </w:r>
    </w:p>
    <w:p w14:paraId="2DA37D56">
      <w:pPr>
        <w:spacing w:line="360" w:lineRule="auto"/>
        <w:jc w:val="left"/>
        <w:rPr>
          <w:rFonts w:hint="default" w:ascii="Times New Roman" w:hAnsi="Times New Roman" w:cs="Times New Roman"/>
          <w:sz w:val="24"/>
        </w:rPr>
      </w:pPr>
      <w:r>
        <w:rPr>
          <w:rFonts w:hint="default" w:ascii="Times New Roman" w:hAnsi="Times New Roman" w:cs="Times New Roman"/>
          <w:sz w:val="24"/>
        </w:rPr>
        <w:t>D.3.5 氧化钾标准溶液</w:t>
      </w:r>
    </w:p>
    <w:p w14:paraId="2A2B39A0">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D.3.5.1 准确称取1.5830g(精确至0.0001g)高纯氯化钾于200mL烧杯中，用水溶解，然后转入1000mL容量瓶中，用水定容。转入干燥的塑料瓶中保存。此溶液含氧化钾1.000mg/mL</w:t>
      </w:r>
      <w:r>
        <w:rPr>
          <w:rFonts w:hint="default" w:ascii="Times New Roman" w:hAnsi="Times New Roman" w:cs="Times New Roman"/>
          <w:sz w:val="24"/>
          <w:lang w:eastAsia="zh-CN"/>
        </w:rPr>
        <w:t>。</w:t>
      </w:r>
    </w:p>
    <w:p w14:paraId="4C83AF5A">
      <w:pPr>
        <w:spacing w:line="360" w:lineRule="auto"/>
        <w:jc w:val="left"/>
        <w:rPr>
          <w:rFonts w:hint="default" w:ascii="Times New Roman" w:hAnsi="Times New Roman" w:cs="Times New Roman"/>
          <w:sz w:val="24"/>
        </w:rPr>
      </w:pPr>
      <w:r>
        <w:rPr>
          <w:rFonts w:hint="default" w:ascii="Times New Roman" w:hAnsi="Times New Roman" w:cs="Times New Roman"/>
          <w:sz w:val="24"/>
        </w:rPr>
        <w:t>B.3.5.2 准确吸取25.00mL上述氧化钾标准溶液于500mL容量瓶中，以水定容，转入干燥的塑料瓶中保存。此溶液含有氧化钾50.00μg/mL。</w:t>
      </w:r>
    </w:p>
    <w:p w14:paraId="1189881D">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D.4仪器和设备</w:t>
      </w:r>
    </w:p>
    <w:p w14:paraId="480868EF">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原子吸收光谱仪，配备有空气-乙炔燃烧器，钾空心阴极灯。在最佳工作条件下，所用仪器应达到下列指标：</w:t>
      </w:r>
    </w:p>
    <w:p w14:paraId="659052A9">
      <w:pPr>
        <w:spacing w:line="360" w:lineRule="auto"/>
        <w:jc w:val="left"/>
        <w:rPr>
          <w:rFonts w:hint="default" w:ascii="Times New Roman" w:hAnsi="Times New Roman" w:cs="Times New Roman"/>
          <w:sz w:val="24"/>
        </w:rPr>
      </w:pPr>
      <w:r>
        <w:rPr>
          <w:rFonts w:hint="default" w:ascii="Times New Roman" w:hAnsi="Times New Roman" w:cs="Times New Roman"/>
          <w:sz w:val="24"/>
        </w:rPr>
        <w:t>D.4.1精密度最低要求</w:t>
      </w:r>
    </w:p>
    <w:p w14:paraId="79221427">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用最高浓度的标准溶液测量10次吸收光度,计算其吸光度的平均值和标准偏差该标准偏差不应超过该吸光度平均值的1.5%。</w:t>
      </w:r>
    </w:p>
    <w:p w14:paraId="4059EAC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用最低浓度的标准溶液(不是零浓度标准溶液)测量10次吸光度，计算标准偏差。该标准偏差不应超过最高浓度标准溶液平均吸光度的0.5%。</w:t>
      </w:r>
    </w:p>
    <w:p w14:paraId="558ADD8D">
      <w:pPr>
        <w:spacing w:line="360" w:lineRule="auto"/>
        <w:jc w:val="left"/>
        <w:rPr>
          <w:rFonts w:hint="default" w:ascii="Times New Roman" w:hAnsi="Times New Roman" w:cs="Times New Roman"/>
          <w:sz w:val="24"/>
        </w:rPr>
      </w:pPr>
      <w:r>
        <w:rPr>
          <w:rFonts w:hint="default" w:ascii="Times New Roman" w:hAnsi="Times New Roman" w:cs="Times New Roman"/>
          <w:sz w:val="24"/>
        </w:rPr>
        <w:t>D.4</w:t>
      </w:r>
      <w:r>
        <w:rPr>
          <w:rFonts w:hint="default" w:ascii="Times New Roman" w:hAnsi="Times New Roman" w:cs="Times New Roman"/>
          <w:sz w:val="24"/>
          <w:lang w:val="en-US" w:eastAsia="zh-CN"/>
        </w:rPr>
        <w:t>.</w:t>
      </w:r>
      <w:r>
        <w:rPr>
          <w:rFonts w:hint="default" w:ascii="Times New Roman" w:hAnsi="Times New Roman" w:cs="Times New Roman"/>
          <w:sz w:val="24"/>
        </w:rPr>
        <w:t>2工作曲线的线性：将工作曲线按浓度等分5段，最高段的吸光度差值与最低段的吸光度差值之比不应小于0.7。</w:t>
      </w:r>
    </w:p>
    <w:p w14:paraId="10E29157">
      <w:pPr>
        <w:spacing w:line="360" w:lineRule="auto"/>
        <w:jc w:val="left"/>
        <w:rPr>
          <w:rFonts w:hint="default" w:ascii="Times New Roman" w:hAnsi="Times New Roman" w:cs="Times New Roman"/>
          <w:sz w:val="24"/>
        </w:rPr>
      </w:pPr>
      <w:r>
        <w:rPr>
          <w:rFonts w:hint="default" w:ascii="Times New Roman" w:hAnsi="Times New Roman" w:cs="Times New Roman"/>
          <w:sz w:val="24"/>
        </w:rPr>
        <w:t>D.4.3灵敏度：在测量试料溶液的基体相一致的溶液中，钾的特征浓度应不大于0.04μg/mL。</w:t>
      </w:r>
    </w:p>
    <w:p w14:paraId="2A25FB47">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D.5测定</w:t>
      </w:r>
    </w:p>
    <w:p w14:paraId="0C727C25">
      <w:pPr>
        <w:spacing w:line="360" w:lineRule="auto"/>
        <w:jc w:val="left"/>
        <w:rPr>
          <w:rFonts w:hint="default" w:ascii="Times New Roman" w:hAnsi="Times New Roman" w:cs="Times New Roman"/>
          <w:sz w:val="24"/>
        </w:rPr>
      </w:pPr>
      <w:r>
        <w:rPr>
          <w:rFonts w:hint="default" w:ascii="Times New Roman" w:hAnsi="Times New Roman" w:cs="Times New Roman"/>
          <w:sz w:val="24"/>
        </w:rPr>
        <w:t>D.5.1钾含量的测定</w:t>
      </w:r>
    </w:p>
    <w:p w14:paraId="43A7202A">
      <w:pPr>
        <w:spacing w:line="360" w:lineRule="auto"/>
        <w:jc w:val="left"/>
        <w:rPr>
          <w:rFonts w:hint="default" w:ascii="Times New Roman" w:hAnsi="Times New Roman" w:cs="Times New Roman"/>
          <w:sz w:val="24"/>
        </w:rPr>
      </w:pPr>
      <w:r>
        <w:rPr>
          <w:rFonts w:hint="default" w:ascii="Times New Roman" w:hAnsi="Times New Roman" w:cs="Times New Roman"/>
          <w:sz w:val="24"/>
        </w:rPr>
        <w:t>D.5.1.1试样的分解</w:t>
      </w:r>
    </w:p>
    <w:p w14:paraId="23D43565">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称取1.0000g试样，精确至0.0001g。置于100mL高型烧杯中，加入10mL硝酸（见D.3.1）溶解，待试样澄清后，转移至100mL容量瓶中，以水稀释至刻度，混匀(若混浊，以快速滤纸干过滤)。随同试样做空白试验。</w:t>
      </w:r>
    </w:p>
    <w:p w14:paraId="674AB94D">
      <w:pPr>
        <w:spacing w:line="360" w:lineRule="auto"/>
        <w:jc w:val="left"/>
        <w:rPr>
          <w:rFonts w:hint="default" w:ascii="Times New Roman" w:hAnsi="Times New Roman" w:cs="Times New Roman"/>
          <w:sz w:val="24"/>
        </w:rPr>
      </w:pPr>
      <w:r>
        <w:rPr>
          <w:rFonts w:hint="default" w:ascii="Times New Roman" w:hAnsi="Times New Roman" w:cs="Times New Roman"/>
          <w:sz w:val="24"/>
        </w:rPr>
        <w:t>D.5.1.2试样的测定</w:t>
      </w:r>
    </w:p>
    <w:p w14:paraId="63748505">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测量打开仪器预热30min以上，按原子吸收分光光度计使用说明书和分析要求设置分析条件，于各元素特征波长处测量不同元素的光谱强度，从各元素校准曲线上查出相应的元素量。</w:t>
      </w:r>
    </w:p>
    <w:p w14:paraId="09DE20B0">
      <w:pPr>
        <w:spacing w:line="360" w:lineRule="auto"/>
        <w:jc w:val="left"/>
        <w:rPr>
          <w:rFonts w:hint="default" w:ascii="Times New Roman" w:hAnsi="Times New Roman" w:cs="Times New Roman"/>
          <w:sz w:val="24"/>
        </w:rPr>
      </w:pPr>
      <w:bookmarkStart w:id="80" w:name="_Toc21455"/>
      <w:r>
        <w:rPr>
          <w:rFonts w:hint="default" w:ascii="Times New Roman" w:hAnsi="Times New Roman" w:cs="Times New Roman"/>
          <w:sz w:val="24"/>
        </w:rPr>
        <w:t>D.5.1.3校准曲线的绘制</w:t>
      </w:r>
      <w:bookmarkEnd w:id="80"/>
    </w:p>
    <w:p w14:paraId="18FD1CBA">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 xml:space="preserve">分别用0.00μg/mL、0.10μg/mL、0.20μg/mL、0.30μg/mL、0.40μg/mL、0.50μg/mL的标准溶液绘制钾元素的标准曲线（可根据样品含量调绘制整校准曲线标准溶液的浓度），测量其中各组分的光谱强度。以横坐标为标准浓度，纵坐标为光谱强度绘制校准曲线，其线性相关系数应不小于0.995。             </w:t>
      </w:r>
    </w:p>
    <w:p w14:paraId="0C0348C9">
      <w:pPr>
        <w:spacing w:line="360" w:lineRule="auto"/>
        <w:jc w:val="left"/>
        <w:rPr>
          <w:rFonts w:hint="default" w:ascii="Times New Roman" w:hAnsi="Times New Roman" w:cs="Times New Roman"/>
          <w:sz w:val="24"/>
        </w:rPr>
      </w:pPr>
      <w:r>
        <w:rPr>
          <w:rFonts w:hint="default" w:ascii="Times New Roman" w:hAnsi="Times New Roman" w:cs="Times New Roman"/>
          <w:sz w:val="24"/>
        </w:rPr>
        <w:t>D.5.1.4计算</w:t>
      </w:r>
    </w:p>
    <w:p w14:paraId="101114F0">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按下式计算待测元素的百分含量(质量分数)，数值以%表示：</w:t>
      </w:r>
    </w:p>
    <w:p w14:paraId="35E651F3">
      <w:pPr>
        <w:spacing w:line="360" w:lineRule="auto"/>
        <w:jc w:val="center"/>
        <w:rPr>
          <w:rFonts w:hint="default" w:ascii="Times New Roman" w:hAnsi="Times New Roman" w:eastAsia="宋体" w:cs="Times New Roman"/>
          <w:iCs/>
          <w:sz w:val="22"/>
          <w:lang w:val="en-US" w:eastAsia="zh-CN"/>
        </w:rPr>
      </w:pPr>
      <w:r>
        <w:rPr>
          <w:rFonts w:hint="default" w:ascii="Times New Roman" w:hAnsi="Times New Roman" w:cs="Times New Roman"/>
          <w:i w:val="0"/>
          <w:iCs/>
          <w:sz w:val="22"/>
          <w:lang w:val="en-US" w:eastAsia="zh-CN"/>
        </w:rPr>
        <w:t xml:space="preserve">                   </w:t>
      </w:r>
      <w:r>
        <w:rPr>
          <w:rFonts w:hint="default" w:ascii="Times New Roman" w:hAnsi="Times New Roman" w:cs="Times New Roman"/>
          <w:i/>
          <w:iCs w:val="0"/>
          <w:sz w:val="28"/>
          <w:szCs w:val="32"/>
          <w:lang w:val="en-US" w:eastAsia="zh-CN"/>
        </w:rPr>
        <w:t xml:space="preserve"> </w:t>
      </w:r>
      <m:oMath>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ω</m:t>
            </m:r>
            <m:ctrlPr>
              <w:rPr>
                <w:rFonts w:hint="default" w:ascii="Cambria Math" w:hAnsi="Cambria Math" w:cs="Times New Roman"/>
                <w:i/>
                <w:iCs w:val="0"/>
                <w:sz w:val="28"/>
                <w:szCs w:val="32"/>
              </w:rPr>
            </m:ctrlPr>
          </m:e>
          <m:sub>
            <m:r>
              <m:rPr>
                <m:nor/>
              </m:rPr>
              <w:rPr>
                <w:rFonts w:hint="default" w:ascii="Times New Roman" w:hAnsi="Times New Roman" w:cs="Times New Roman"/>
                <w:i/>
                <w:sz w:val="28"/>
                <w:szCs w:val="32"/>
              </w:rPr>
              <m:t>K</m:t>
            </m:r>
            <m:ctrlPr>
              <w:rPr>
                <w:rFonts w:hint="default" w:ascii="Cambria Math" w:hAnsi="Cambria Math" w:cs="Times New Roman"/>
                <w:i/>
                <w:iCs w:val="0"/>
                <w:sz w:val="28"/>
                <w:szCs w:val="32"/>
              </w:rPr>
            </m:ctrlPr>
          </m:sub>
        </m:sSub>
        <m:r>
          <m:rPr>
            <m:nor/>
            <m:sty m:val="p"/>
          </m:rPr>
          <w:rPr>
            <w:rFonts w:hint="default" w:ascii="Times New Roman" w:hAnsi="Times New Roman" w:cs="Times New Roman"/>
            <w:i w:val="0"/>
            <w:sz w:val="28"/>
            <w:szCs w:val="32"/>
          </w:rPr>
          <m:t>=</m:t>
        </m:r>
        <m:f>
          <m:fPr>
            <m:ctrlPr>
              <w:rPr>
                <w:rFonts w:hint="default" w:ascii="Cambria Math" w:hAnsi="Cambria Math" w:cs="Times New Roman"/>
                <w:i/>
                <w:iCs w:val="0"/>
                <w:sz w:val="28"/>
                <w:szCs w:val="32"/>
              </w:rPr>
            </m:ctrlPr>
          </m:fPr>
          <m:num>
            <m:r>
              <m:rPr>
                <m:nor/>
              </m:rPr>
              <w:rPr>
                <w:rFonts w:hint="default" w:ascii="Times New Roman" w:hAnsi="Times New Roman" w:cs="Times New Roman"/>
                <w:i/>
                <w:sz w:val="28"/>
                <w:szCs w:val="32"/>
              </w:rPr>
              <m:t>C</m:t>
            </m:r>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f</m:t>
            </m:r>
            <m:sSup>
              <m:sSupPr>
                <m:ctrlPr>
                  <w:rPr>
                    <w:rFonts w:hint="default" w:ascii="Cambria Math" w:hAnsi="Cambria Math" w:cs="Times New Roman"/>
                    <w:i/>
                    <w:iCs w:val="0"/>
                    <w:sz w:val="28"/>
                    <w:szCs w:val="32"/>
                  </w:rPr>
                </m:ctrlPr>
              </m:sSupPr>
              <m:e>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V</m:t>
                </m:r>
                <m:r>
                  <m:rPr>
                    <m:nor/>
                    <m:sty m:val="p"/>
                  </m:rPr>
                  <w:rPr>
                    <w:rFonts w:hint="default" w:ascii="Times New Roman" w:hAnsi="Times New Roman" w:cs="Times New Roman"/>
                    <w:i w:val="0"/>
                    <w:sz w:val="28"/>
                    <w:szCs w:val="32"/>
                  </w:rPr>
                  <m:t>×10</m:t>
                </m:r>
                <m:ctrlPr>
                  <w:rPr>
                    <w:rFonts w:hint="default" w:ascii="Cambria Math" w:hAnsi="Cambria Math" w:cs="Times New Roman"/>
                    <w:i/>
                    <w:iCs w:val="0"/>
                    <w:sz w:val="28"/>
                    <w:szCs w:val="32"/>
                  </w:rPr>
                </m:ctrlPr>
              </m:e>
              <m:sup>
                <m:r>
                  <m:rPr>
                    <m:nor/>
                    <m:sty m:val="p"/>
                  </m:rPr>
                  <w:rPr>
                    <w:rFonts w:hint="default" w:ascii="Times New Roman" w:hAnsi="Times New Roman" w:cs="Times New Roman"/>
                    <w:i w:val="0"/>
                    <w:sz w:val="28"/>
                    <w:szCs w:val="32"/>
                  </w:rPr>
                  <m:t>−6</m:t>
                </m:r>
                <m:ctrlPr>
                  <w:rPr>
                    <w:rFonts w:hint="default" w:ascii="Cambria Math" w:hAnsi="Cambria Math" w:cs="Times New Roman"/>
                    <w:i/>
                    <w:iCs w:val="0"/>
                    <w:sz w:val="28"/>
                    <w:szCs w:val="32"/>
                  </w:rPr>
                </m:ctrlPr>
              </m:sup>
            </m:sSup>
            <m:ctrlPr>
              <w:rPr>
                <w:rFonts w:hint="default" w:ascii="Cambria Math" w:hAnsi="Cambria Math" w:cs="Times New Roman"/>
                <w:i/>
                <w:iCs w:val="0"/>
                <w:sz w:val="28"/>
                <w:szCs w:val="32"/>
              </w:rPr>
            </m:ctrlPr>
          </m:num>
          <m:den>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m</m:t>
                </m:r>
                <m:ctrlPr>
                  <w:rPr>
                    <w:rFonts w:hint="default" w:ascii="Cambria Math" w:hAnsi="Cambria Math" w:cs="Times New Roman"/>
                    <w:i/>
                    <w:iCs w:val="0"/>
                    <w:sz w:val="28"/>
                    <w:szCs w:val="32"/>
                  </w:rPr>
                </m:ctrlPr>
              </m:e>
              <m:sub>
                <m:r>
                  <m:rPr>
                    <m:nor/>
                    <m:sty m:val="p"/>
                  </m:rPr>
                  <w:rPr>
                    <w:rFonts w:hint="default" w:ascii="Times New Roman" w:hAnsi="Times New Roman" w:cs="Times New Roman"/>
                    <w:i w:val="0"/>
                    <w:sz w:val="28"/>
                    <w:szCs w:val="32"/>
                  </w:rPr>
                  <m:t>0</m:t>
                </m:r>
                <m:ctrlPr>
                  <w:rPr>
                    <w:rFonts w:hint="default" w:ascii="Cambria Math" w:hAnsi="Cambria Math" w:cs="Times New Roman"/>
                    <w:i/>
                    <w:iCs w:val="0"/>
                    <w:sz w:val="28"/>
                    <w:szCs w:val="32"/>
                  </w:rPr>
                </m:ctrlPr>
              </m:sub>
            </m:sSub>
            <m:ctrlPr>
              <w:rPr>
                <w:rFonts w:hint="default" w:ascii="Cambria Math" w:hAnsi="Cambria Math" w:cs="Times New Roman"/>
                <w:i/>
                <w:iCs w:val="0"/>
                <w:sz w:val="28"/>
                <w:szCs w:val="32"/>
              </w:rPr>
            </m:ctrlPr>
          </m:den>
        </m:f>
        <m:r>
          <m:rPr>
            <m:nor/>
            <m:sty m:val="p"/>
          </m:rPr>
          <w:rPr>
            <w:rFonts w:hint="default" w:ascii="Times New Roman" w:hAnsi="Times New Roman" w:cs="Times New Roman"/>
            <w:b w:val="0"/>
            <w:i w:val="0"/>
            <w:sz w:val="28"/>
          </w:rPr>
          <m:t>×100%</m:t>
        </m:r>
      </m:oMath>
      <w:r>
        <w:rPr>
          <w:rFonts w:hint="default" w:ascii="Times New Roman" w:hAnsi="Times New Roman" w:cs="Times New Roman"/>
          <w:b w:val="0"/>
          <w:i w:val="0"/>
          <w:sz w:val="22"/>
          <w:lang w:val="en-US" w:eastAsia="zh-CN"/>
        </w:rPr>
        <w:t xml:space="preserve">              </w:t>
      </w:r>
      <w:r>
        <w:rPr>
          <w:rFonts w:hint="default" w:ascii="Times New Roman" w:hAnsi="Times New Roman" w:cs="Times New Roman"/>
          <w:b w:val="0"/>
          <w:i w:val="0"/>
          <w:szCs w:val="36"/>
          <w:lang w:val="en-US" w:eastAsia="zh-CN"/>
        </w:rPr>
        <w:t>（D.1）</w:t>
      </w:r>
    </w:p>
    <w:p w14:paraId="29C6883A">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式中：</w:t>
      </w:r>
    </w:p>
    <w:p w14:paraId="0E4A4AFF">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C</w:t>
      </w:r>
      <w:r>
        <w:rPr>
          <w:rFonts w:hint="default" w:ascii="Times New Roman" w:hAnsi="Times New Roman" w:cs="Times New Roman"/>
          <w:sz w:val="24"/>
        </w:rPr>
        <w:t>—测得的试液中元素的浓度，单位为微克每毫升</w:t>
      </w:r>
      <w:r>
        <w:rPr>
          <w:rFonts w:hint="eastAsia" w:cs="Times New Roman"/>
          <w:sz w:val="24"/>
          <w:lang w:eastAsia="zh-CN"/>
        </w:rPr>
        <w:t>（</w:t>
      </w:r>
      <w:r>
        <w:rPr>
          <w:rFonts w:hint="default" w:ascii="Times New Roman" w:hAnsi="Times New Roman" w:cs="Times New Roman"/>
          <w:sz w:val="24"/>
        </w:rPr>
        <w:t>μg/mL</w:t>
      </w:r>
      <w:r>
        <w:rPr>
          <w:rFonts w:hint="eastAsia" w:cs="Times New Roman"/>
          <w:sz w:val="24"/>
          <w:lang w:eastAsia="zh-CN"/>
        </w:rPr>
        <w:t>）</w:t>
      </w:r>
      <w:r>
        <w:rPr>
          <w:rFonts w:hint="default" w:ascii="Times New Roman" w:hAnsi="Times New Roman" w:cs="Times New Roman"/>
          <w:sz w:val="24"/>
        </w:rPr>
        <w:t>；</w:t>
      </w:r>
    </w:p>
    <w:p w14:paraId="4967F0F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f</w:t>
      </w:r>
      <w:r>
        <w:rPr>
          <w:rFonts w:hint="default" w:ascii="Times New Roman" w:hAnsi="Times New Roman" w:cs="Times New Roman"/>
          <w:sz w:val="24"/>
        </w:rPr>
        <w:t>—稀释倍数；</w:t>
      </w:r>
    </w:p>
    <w:p w14:paraId="1587B2D5">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V</w:t>
      </w:r>
      <w:r>
        <w:rPr>
          <w:rFonts w:hint="default" w:ascii="Times New Roman" w:hAnsi="Times New Roman" w:cs="Times New Roman"/>
          <w:sz w:val="24"/>
        </w:rPr>
        <w:t>—溶液总体积，单位为毫升（mL）；</w:t>
      </w:r>
    </w:p>
    <w:p w14:paraId="4A774274">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m</w:t>
      </w:r>
      <w:r>
        <w:rPr>
          <w:rFonts w:hint="default" w:ascii="Times New Roman" w:hAnsi="Times New Roman" w:cs="Times New Roman"/>
          <w:i/>
          <w:iCs/>
          <w:sz w:val="24"/>
          <w:vertAlign w:val="subscript"/>
        </w:rPr>
        <w:t>0</w:t>
      </w:r>
      <w:r>
        <w:rPr>
          <w:rFonts w:hint="default" w:ascii="Times New Roman" w:hAnsi="Times New Roman" w:cs="Times New Roman"/>
          <w:sz w:val="24"/>
        </w:rPr>
        <w:t>—称取的试样量，单位为克（g）。</w:t>
      </w:r>
    </w:p>
    <w:p w14:paraId="6B2CD49B">
      <w:pPr>
        <w:spacing w:line="360" w:lineRule="auto"/>
        <w:jc w:val="left"/>
        <w:rPr>
          <w:rFonts w:hint="default" w:ascii="Times New Roman" w:hAnsi="Times New Roman" w:cs="Times New Roman"/>
          <w:sz w:val="24"/>
        </w:rPr>
      </w:pPr>
      <w:r>
        <w:rPr>
          <w:rFonts w:hint="default" w:ascii="Times New Roman" w:hAnsi="Times New Roman" w:cs="Times New Roman"/>
          <w:sz w:val="24"/>
        </w:rPr>
        <w:t>D.5.2氧化钾含量的测定</w:t>
      </w:r>
    </w:p>
    <w:p w14:paraId="224FC6EE">
      <w:pPr>
        <w:spacing w:line="360" w:lineRule="auto"/>
        <w:jc w:val="left"/>
        <w:rPr>
          <w:rFonts w:hint="default" w:ascii="Times New Roman" w:hAnsi="Times New Roman" w:cs="Times New Roman"/>
          <w:sz w:val="24"/>
        </w:rPr>
      </w:pPr>
      <w:r>
        <w:rPr>
          <w:rFonts w:hint="default" w:ascii="Times New Roman" w:hAnsi="Times New Roman" w:cs="Times New Roman"/>
          <w:sz w:val="24"/>
        </w:rPr>
        <w:t>D.5.2.1试样的分解</w:t>
      </w:r>
    </w:p>
    <w:p w14:paraId="2465866E">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称取10.0000g（精确至0.0001g）试样，置于烧杯中，用少量水湿润，加40mL盐酸（见D.3.3），加热溶解，滴加过氧化氢（见D.3.4）使暗色褪去，小心蒸干，加10mL盐酸（见D.3.3），用水洗杯壁，加热使溶解盐类，冷却后转入200mL容量瓶中，用水定容。</w:t>
      </w:r>
    </w:p>
    <w:p w14:paraId="6915C1A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分取20mL试液五份，分别置于50mL容量瓶中，其中一份不加标准溶液，其余四份分别加入不同含量氧化钾标准溶液（见B.3.5.2），用水定容。与试样同时做空白实验。以空白调零，用标准加入法方式测定。</w:t>
      </w:r>
    </w:p>
    <w:p w14:paraId="4B794570">
      <w:pPr>
        <w:spacing w:line="360" w:lineRule="auto"/>
        <w:jc w:val="left"/>
        <w:rPr>
          <w:rFonts w:hint="default" w:ascii="Times New Roman" w:hAnsi="Times New Roman" w:cs="Times New Roman"/>
          <w:sz w:val="24"/>
        </w:rPr>
      </w:pPr>
      <w:r>
        <w:rPr>
          <w:rFonts w:hint="default" w:ascii="Times New Roman" w:hAnsi="Times New Roman" w:cs="Times New Roman"/>
          <w:sz w:val="24"/>
        </w:rPr>
        <w:t>D.5.2.2计算</w:t>
      </w:r>
    </w:p>
    <w:p w14:paraId="2C1AF81A">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按下式计算待测元素的百分含量(质量分数)，数值以%表示：</w:t>
      </w:r>
    </w:p>
    <w:p w14:paraId="610E9733">
      <w:pPr>
        <w:spacing w:line="360" w:lineRule="auto"/>
        <w:jc w:val="center"/>
        <w:rPr>
          <w:rFonts w:hint="default" w:ascii="Times New Roman" w:hAnsi="Times New Roman" w:eastAsia="宋体" w:cs="Times New Roman"/>
          <w:iCs/>
          <w:sz w:val="22"/>
          <w:szCs w:val="36"/>
          <w:lang w:val="en-US" w:eastAsia="zh-CN"/>
        </w:rPr>
      </w:pPr>
      <w:r>
        <w:rPr>
          <w:rFonts w:hint="default" w:ascii="Times New Roman" w:hAnsi="Times New Roman" w:cs="Times New Roman"/>
          <w:i w:val="0"/>
          <w:iCs/>
          <w:sz w:val="22"/>
          <w:szCs w:val="36"/>
          <w:lang w:val="en-US" w:eastAsia="zh-CN"/>
        </w:rPr>
        <w:t xml:space="preserve">                      </w:t>
      </w:r>
      <w:r>
        <w:rPr>
          <w:rFonts w:hint="default" w:ascii="Times New Roman" w:hAnsi="Times New Roman" w:cs="Times New Roman"/>
          <w:i/>
          <w:iCs w:val="0"/>
          <w:sz w:val="22"/>
          <w:szCs w:val="36"/>
          <w:lang w:val="en-US" w:eastAsia="zh-CN"/>
        </w:rPr>
        <w:t xml:space="preserve"> </w:t>
      </w:r>
      <m:oMath>
        <m:sSub>
          <m:sSubPr>
            <m:ctrlPr>
              <w:rPr>
                <w:rFonts w:hint="default" w:ascii="Cambria Math" w:hAnsi="Cambria Math" w:cs="Times New Roman"/>
                <w:i/>
                <w:iCs w:val="0"/>
                <w:sz w:val="28"/>
                <w:szCs w:val="44"/>
              </w:rPr>
            </m:ctrlPr>
          </m:sSubPr>
          <m:e>
            <m:r>
              <m:rPr>
                <m:nor/>
              </m:rPr>
              <w:rPr>
                <w:rFonts w:hint="default" w:ascii="Times New Roman" w:hAnsi="Times New Roman" w:cs="Times New Roman"/>
                <w:i/>
                <w:sz w:val="28"/>
                <w:szCs w:val="44"/>
              </w:rPr>
              <m:t>ω</m:t>
            </m:r>
            <m:ctrlPr>
              <w:rPr>
                <w:rFonts w:hint="default" w:ascii="Cambria Math" w:hAnsi="Cambria Math" w:cs="Times New Roman"/>
                <w:i/>
                <w:iCs w:val="0"/>
                <w:sz w:val="28"/>
                <w:szCs w:val="44"/>
              </w:rPr>
            </m:ctrlPr>
          </m:e>
          <m:sub>
            <m:r>
              <m:rPr>
                <m:nor/>
              </m:rPr>
              <w:rPr>
                <w:rFonts w:hint="default" w:ascii="Times New Roman" w:hAnsi="Times New Roman" w:cs="Times New Roman"/>
                <w:i/>
                <w:sz w:val="28"/>
                <w:szCs w:val="44"/>
              </w:rPr>
              <m:t>K</m:t>
            </m:r>
            <m:r>
              <m:rPr>
                <m:nor/>
                <m:sty m:val="p"/>
              </m:rPr>
              <w:rPr>
                <w:rFonts w:hint="default" w:ascii="Times New Roman" w:hAnsi="Times New Roman" w:cs="Times New Roman"/>
                <w:i w:val="0"/>
                <w:sz w:val="28"/>
                <w:szCs w:val="44"/>
              </w:rPr>
              <m:t>2</m:t>
            </m:r>
            <m:r>
              <m:rPr>
                <m:nor/>
              </m:rPr>
              <w:rPr>
                <w:rFonts w:hint="default" w:ascii="Times New Roman" w:hAnsi="Times New Roman" w:cs="Times New Roman"/>
                <w:i/>
                <w:sz w:val="28"/>
                <w:szCs w:val="44"/>
              </w:rPr>
              <m:t>O</m:t>
            </m:r>
            <m:ctrlPr>
              <w:rPr>
                <w:rFonts w:hint="default" w:ascii="Cambria Math" w:hAnsi="Cambria Math" w:cs="Times New Roman"/>
                <w:i/>
                <w:iCs w:val="0"/>
                <w:sz w:val="28"/>
                <w:szCs w:val="44"/>
              </w:rPr>
            </m:ctrlPr>
          </m:sub>
        </m:sSub>
        <m:r>
          <m:rPr>
            <m:nor/>
            <m:sty m:val="p"/>
          </m:rPr>
          <w:rPr>
            <w:rFonts w:hint="default" w:ascii="Times New Roman" w:hAnsi="Times New Roman" w:cs="Times New Roman"/>
            <w:i w:val="0"/>
            <w:sz w:val="28"/>
            <w:szCs w:val="44"/>
          </w:rPr>
          <m:t>=</m:t>
        </m:r>
        <m:f>
          <m:fPr>
            <m:ctrlPr>
              <w:rPr>
                <w:rFonts w:hint="default" w:ascii="Cambria Math" w:hAnsi="Cambria Math" w:cs="Times New Roman"/>
                <w:i/>
                <w:iCs w:val="0"/>
                <w:sz w:val="28"/>
                <w:szCs w:val="44"/>
              </w:rPr>
            </m:ctrlPr>
          </m:fPr>
          <m:num>
            <m:r>
              <m:rPr>
                <m:nor/>
              </m:rPr>
              <w:rPr>
                <w:rFonts w:hint="default" w:ascii="Times New Roman" w:hAnsi="Times New Roman" w:cs="Times New Roman"/>
                <w:i/>
                <w:sz w:val="28"/>
                <w:szCs w:val="44"/>
              </w:rPr>
              <m:t>C</m:t>
            </m:r>
            <m:r>
              <m:rPr>
                <m:nor/>
                <m:sty m:val="p"/>
              </m:rPr>
              <w:rPr>
                <w:rFonts w:hint="default" w:ascii="Times New Roman" w:hAnsi="Times New Roman" w:cs="Times New Roman"/>
                <w:i w:val="0"/>
                <w:sz w:val="28"/>
                <w:szCs w:val="44"/>
              </w:rPr>
              <m:t>×</m:t>
            </m:r>
            <m:r>
              <m:rPr>
                <m:nor/>
              </m:rPr>
              <w:rPr>
                <w:rFonts w:hint="default" w:ascii="Times New Roman" w:hAnsi="Times New Roman" w:cs="Times New Roman"/>
                <w:i/>
                <w:sz w:val="28"/>
                <w:szCs w:val="44"/>
              </w:rPr>
              <m:t>f</m:t>
            </m:r>
            <m:sSup>
              <m:sSupPr>
                <m:ctrlPr>
                  <w:rPr>
                    <w:rFonts w:hint="default" w:ascii="Cambria Math" w:hAnsi="Cambria Math" w:cs="Times New Roman"/>
                    <w:i/>
                    <w:iCs w:val="0"/>
                    <w:sz w:val="28"/>
                    <w:szCs w:val="44"/>
                  </w:rPr>
                </m:ctrlPr>
              </m:sSupPr>
              <m:e>
                <m:r>
                  <m:rPr>
                    <m:nor/>
                    <m:sty m:val="p"/>
                  </m:rPr>
                  <w:rPr>
                    <w:rFonts w:hint="default" w:ascii="Times New Roman" w:hAnsi="Times New Roman" w:cs="Times New Roman"/>
                    <w:i w:val="0"/>
                    <w:sz w:val="28"/>
                    <w:szCs w:val="44"/>
                  </w:rPr>
                  <m:t>×</m:t>
                </m:r>
                <m:r>
                  <m:rPr>
                    <m:nor/>
                  </m:rPr>
                  <w:rPr>
                    <w:rFonts w:hint="default" w:ascii="Times New Roman" w:hAnsi="Times New Roman" w:cs="Times New Roman"/>
                    <w:i/>
                    <w:sz w:val="28"/>
                    <w:szCs w:val="44"/>
                  </w:rPr>
                  <m:t>V</m:t>
                </m:r>
                <m:r>
                  <m:rPr>
                    <m:nor/>
                    <m:sty m:val="p"/>
                  </m:rPr>
                  <w:rPr>
                    <w:rFonts w:hint="default" w:ascii="Times New Roman" w:hAnsi="Times New Roman" w:cs="Times New Roman"/>
                    <w:i w:val="0"/>
                    <w:sz w:val="28"/>
                    <w:szCs w:val="44"/>
                  </w:rPr>
                  <m:t>×10</m:t>
                </m:r>
                <m:ctrlPr>
                  <w:rPr>
                    <w:rFonts w:hint="default" w:ascii="Cambria Math" w:hAnsi="Cambria Math" w:cs="Times New Roman"/>
                    <w:i/>
                    <w:iCs w:val="0"/>
                    <w:sz w:val="28"/>
                    <w:szCs w:val="44"/>
                  </w:rPr>
                </m:ctrlPr>
              </m:e>
              <m:sup>
                <m:r>
                  <m:rPr>
                    <m:nor/>
                    <m:sty m:val="p"/>
                  </m:rPr>
                  <w:rPr>
                    <w:rFonts w:hint="default" w:ascii="Times New Roman" w:hAnsi="Times New Roman" w:cs="Times New Roman"/>
                    <w:i w:val="0"/>
                    <w:sz w:val="28"/>
                    <w:szCs w:val="44"/>
                  </w:rPr>
                  <m:t>−6</m:t>
                </m:r>
                <m:ctrlPr>
                  <w:rPr>
                    <w:rFonts w:hint="default" w:ascii="Cambria Math" w:hAnsi="Cambria Math" w:cs="Times New Roman"/>
                    <w:i/>
                    <w:iCs w:val="0"/>
                    <w:sz w:val="28"/>
                    <w:szCs w:val="44"/>
                  </w:rPr>
                </m:ctrlPr>
              </m:sup>
            </m:sSup>
            <m:ctrlPr>
              <w:rPr>
                <w:rFonts w:hint="default" w:ascii="Cambria Math" w:hAnsi="Cambria Math" w:cs="Times New Roman"/>
                <w:i/>
                <w:iCs w:val="0"/>
                <w:sz w:val="28"/>
                <w:szCs w:val="44"/>
              </w:rPr>
            </m:ctrlPr>
          </m:num>
          <m:den>
            <m:sSub>
              <m:sSubPr>
                <m:ctrlPr>
                  <w:rPr>
                    <w:rFonts w:hint="default" w:ascii="Cambria Math" w:hAnsi="Cambria Math" w:cs="Times New Roman"/>
                    <w:i/>
                    <w:iCs w:val="0"/>
                    <w:sz w:val="28"/>
                    <w:szCs w:val="44"/>
                  </w:rPr>
                </m:ctrlPr>
              </m:sSubPr>
              <m:e>
                <m:r>
                  <m:rPr>
                    <m:nor/>
                  </m:rPr>
                  <w:rPr>
                    <w:rFonts w:hint="default" w:ascii="Times New Roman" w:hAnsi="Times New Roman" w:cs="Times New Roman"/>
                    <w:i/>
                    <w:sz w:val="28"/>
                    <w:szCs w:val="44"/>
                  </w:rPr>
                  <m:t>m</m:t>
                </m:r>
                <m:ctrlPr>
                  <w:rPr>
                    <w:rFonts w:hint="default" w:ascii="Cambria Math" w:hAnsi="Cambria Math" w:cs="Times New Roman"/>
                    <w:i/>
                    <w:iCs w:val="0"/>
                    <w:sz w:val="28"/>
                    <w:szCs w:val="44"/>
                  </w:rPr>
                </m:ctrlPr>
              </m:e>
              <m:sub>
                <m:r>
                  <m:rPr>
                    <m:nor/>
                    <m:sty m:val="p"/>
                  </m:rPr>
                  <w:rPr>
                    <w:rFonts w:hint="default" w:ascii="Times New Roman" w:hAnsi="Times New Roman" w:cs="Times New Roman"/>
                    <w:i w:val="0"/>
                    <w:sz w:val="28"/>
                    <w:szCs w:val="44"/>
                  </w:rPr>
                  <m:t>0</m:t>
                </m:r>
                <m:ctrlPr>
                  <w:rPr>
                    <w:rFonts w:hint="default" w:ascii="Cambria Math" w:hAnsi="Cambria Math" w:cs="Times New Roman"/>
                    <w:i/>
                    <w:iCs w:val="0"/>
                    <w:sz w:val="28"/>
                    <w:szCs w:val="44"/>
                  </w:rPr>
                </m:ctrlPr>
              </m:sub>
            </m:sSub>
            <m:ctrlPr>
              <w:rPr>
                <w:rFonts w:hint="default" w:ascii="Cambria Math" w:hAnsi="Cambria Math" w:cs="Times New Roman"/>
                <w:i/>
                <w:iCs w:val="0"/>
                <w:sz w:val="28"/>
                <w:szCs w:val="44"/>
              </w:rPr>
            </m:ctrlPr>
          </m:den>
        </m:f>
        <m:r>
          <m:rPr>
            <m:nor/>
            <m:sty m:val="p"/>
          </m:rPr>
          <w:rPr>
            <w:rFonts w:hint="default" w:ascii="Times New Roman" w:hAnsi="Times New Roman" w:cs="Times New Roman"/>
            <w:b w:val="0"/>
            <w:i w:val="0"/>
            <w:sz w:val="28"/>
            <w:szCs w:val="44"/>
          </w:rPr>
          <m:t>×100%</m:t>
        </m:r>
      </m:oMath>
      <w:r>
        <w:rPr>
          <w:rFonts w:hint="default" w:ascii="Times New Roman" w:hAnsi="Times New Roman" w:cs="Times New Roman"/>
          <w:b w:val="0"/>
          <w:i w:val="0"/>
          <w:sz w:val="28"/>
          <w:szCs w:val="44"/>
          <w:lang w:val="en-US" w:eastAsia="zh-CN"/>
        </w:rPr>
        <w:t xml:space="preserve"> </w:t>
      </w:r>
      <w:r>
        <w:rPr>
          <w:rFonts w:hint="default" w:ascii="Times New Roman" w:hAnsi="Times New Roman" w:cs="Times New Roman"/>
          <w:b w:val="0"/>
          <w:i w:val="0"/>
          <w:sz w:val="22"/>
          <w:szCs w:val="36"/>
          <w:lang w:val="en-US" w:eastAsia="zh-CN"/>
        </w:rPr>
        <w:t xml:space="preserve">             </w:t>
      </w:r>
      <w:r>
        <w:rPr>
          <w:rFonts w:hint="default" w:ascii="Times New Roman" w:hAnsi="Times New Roman" w:cs="Times New Roman"/>
          <w:b w:val="0"/>
          <w:i w:val="0"/>
          <w:szCs w:val="36"/>
          <w:lang w:val="en-US" w:eastAsia="zh-CN"/>
        </w:rPr>
        <w:t>（D.2）</w:t>
      </w:r>
    </w:p>
    <w:p w14:paraId="1714E9C0">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式中：</w:t>
      </w:r>
    </w:p>
    <w:p w14:paraId="2C6ED05E">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C</w:t>
      </w:r>
      <w:r>
        <w:rPr>
          <w:rFonts w:hint="default" w:ascii="Times New Roman" w:hAnsi="Times New Roman" w:cs="Times New Roman"/>
          <w:sz w:val="24"/>
        </w:rPr>
        <w:t>—测得的试液中元素的浓度，单位为微克每毫升</w:t>
      </w:r>
      <w:r>
        <w:rPr>
          <w:rFonts w:hint="eastAsia" w:cs="Times New Roman"/>
          <w:sz w:val="24"/>
          <w:lang w:eastAsia="zh-CN"/>
        </w:rPr>
        <w:t>（</w:t>
      </w:r>
      <w:r>
        <w:rPr>
          <w:rFonts w:hint="default" w:ascii="Times New Roman" w:hAnsi="Times New Roman" w:cs="Times New Roman"/>
          <w:sz w:val="24"/>
        </w:rPr>
        <w:t>μg/mL</w:t>
      </w:r>
      <w:r>
        <w:rPr>
          <w:rFonts w:hint="eastAsia" w:cs="Times New Roman"/>
          <w:sz w:val="24"/>
          <w:lang w:eastAsia="zh-CN"/>
        </w:rPr>
        <w:t>）</w:t>
      </w:r>
      <w:r>
        <w:rPr>
          <w:rFonts w:hint="default" w:ascii="Times New Roman" w:hAnsi="Times New Roman" w:cs="Times New Roman"/>
          <w:sz w:val="24"/>
        </w:rPr>
        <w:t>；</w:t>
      </w:r>
    </w:p>
    <w:p w14:paraId="45671F6D">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f</w:t>
      </w:r>
      <w:r>
        <w:rPr>
          <w:rFonts w:hint="default" w:ascii="Times New Roman" w:hAnsi="Times New Roman" w:cs="Times New Roman"/>
          <w:sz w:val="24"/>
        </w:rPr>
        <w:t>—稀释倍数；</w:t>
      </w:r>
    </w:p>
    <w:p w14:paraId="4BE069D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V</w:t>
      </w:r>
      <w:r>
        <w:rPr>
          <w:rFonts w:hint="default" w:ascii="Times New Roman" w:hAnsi="Times New Roman" w:cs="Times New Roman"/>
          <w:sz w:val="24"/>
        </w:rPr>
        <w:t>—溶液总体积，单位为毫升（mL）；</w:t>
      </w:r>
    </w:p>
    <w:p w14:paraId="703FF1C9">
      <w:pPr>
        <w:spacing w:line="360" w:lineRule="auto"/>
        <w:ind w:firstLine="480" w:firstLineChars="200"/>
        <w:jc w:val="left"/>
        <w:rPr>
          <w:rFonts w:hint="default" w:ascii="Times New Roman" w:hAnsi="Times New Roman" w:cs="Times New Roman"/>
          <w:sz w:val="24"/>
        </w:rPr>
        <w:sectPr>
          <w:pgSz w:w="11911" w:h="16838"/>
          <w:pgMar w:top="1134" w:right="1417" w:bottom="1134" w:left="1417" w:header="1134" w:footer="850" w:gutter="0"/>
          <w:pgNumType w:fmt="decimal"/>
          <w:cols w:space="0" w:num="1"/>
          <w:formProt w:val="0"/>
          <w:docGrid w:linePitch="312" w:charSpace="0"/>
        </w:sectPr>
      </w:pPr>
      <w:r>
        <w:rPr>
          <w:rFonts w:hint="default" w:ascii="Times New Roman" w:hAnsi="Times New Roman" w:cs="Times New Roman"/>
          <w:i/>
          <w:iCs/>
          <w:sz w:val="24"/>
        </w:rPr>
        <w:t>m</w:t>
      </w:r>
      <w:r>
        <w:rPr>
          <w:rFonts w:hint="default" w:ascii="Times New Roman" w:hAnsi="Times New Roman" w:cs="Times New Roman"/>
          <w:i/>
          <w:iCs/>
          <w:sz w:val="24"/>
          <w:vertAlign w:val="subscript"/>
        </w:rPr>
        <w:t>0</w:t>
      </w:r>
      <w:r>
        <w:rPr>
          <w:rFonts w:hint="default" w:ascii="Times New Roman" w:hAnsi="Times New Roman" w:cs="Times New Roman"/>
          <w:sz w:val="24"/>
        </w:rPr>
        <w:t>—称取的试样量，单位为克（g）。</w:t>
      </w:r>
    </w:p>
    <w:p w14:paraId="6C54AC52">
      <w:pPr>
        <w:pStyle w:val="9"/>
        <w:spacing w:line="360" w:lineRule="auto"/>
        <w:jc w:val="center"/>
        <w:outlineLvl w:val="0"/>
        <w:rPr>
          <w:rFonts w:hint="default" w:ascii="Times New Roman" w:hAnsi="Times New Roman" w:cs="Times New Roman"/>
          <w:b/>
          <w:sz w:val="24"/>
          <w:szCs w:val="24"/>
        </w:rPr>
      </w:pPr>
      <w:bookmarkStart w:id="81" w:name="_Toc19567"/>
      <w:bookmarkStart w:id="82" w:name="_Toc23654"/>
      <w:bookmarkStart w:id="83" w:name="_Toc29498"/>
      <w:bookmarkStart w:id="84" w:name="_Toc6589"/>
      <w:r>
        <w:rPr>
          <w:rFonts w:hint="default" w:ascii="Times New Roman" w:hAnsi="Times New Roman" w:cs="Times New Roman"/>
          <w:b/>
          <w:sz w:val="24"/>
          <w:szCs w:val="24"/>
        </w:rPr>
        <w:t>附 录</w:t>
      </w:r>
      <w:bookmarkEnd w:id="81"/>
      <w:r>
        <w:rPr>
          <w:rFonts w:hint="default" w:ascii="Times New Roman" w:hAnsi="Times New Roman" w:cs="Times New Roman"/>
          <w:b/>
          <w:sz w:val="24"/>
          <w:szCs w:val="24"/>
        </w:rPr>
        <w:t>E</w:t>
      </w:r>
      <w:bookmarkEnd w:id="82"/>
      <w:bookmarkEnd w:id="83"/>
      <w:bookmarkEnd w:id="84"/>
    </w:p>
    <w:p w14:paraId="328C8C2E">
      <w:pPr>
        <w:pStyle w:val="9"/>
        <w:spacing w:line="36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（规范性）</w:t>
      </w:r>
    </w:p>
    <w:p w14:paraId="1F8FB49C">
      <w:pPr>
        <w:pStyle w:val="9"/>
        <w:spacing w:line="360" w:lineRule="auto"/>
        <w:jc w:val="center"/>
        <w:rPr>
          <w:rFonts w:hint="default" w:ascii="Times New Roman" w:hAnsi="Times New Roman" w:cs="Times New Roman"/>
          <w:sz w:val="24"/>
          <w:szCs w:val="24"/>
        </w:rPr>
      </w:pPr>
      <w:r>
        <w:rPr>
          <w:rFonts w:hint="default" w:ascii="Times New Roman" w:hAnsi="Times New Roman" w:cs="Times New Roman"/>
          <w:b/>
          <w:bCs/>
          <w:sz w:val="24"/>
          <w:szCs w:val="24"/>
        </w:rPr>
        <w:t>钠含量的测定</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火焰原子吸收光谱法</w:t>
      </w:r>
    </w:p>
    <w:p w14:paraId="48F4810D">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E.1范围</w:t>
      </w:r>
    </w:p>
    <w:p w14:paraId="44D94281">
      <w:pPr>
        <w:pStyle w:val="128"/>
        <w:numPr>
          <w:ilvl w:val="0"/>
          <w:numId w:val="0"/>
        </w:numPr>
        <w:snapToGrid w:val="0"/>
        <w:spacing w:line="360" w:lineRule="auto"/>
        <w:ind w:firstLine="420" w:firstLineChars="175"/>
        <w:contextualSpacing/>
        <w:jc w:val="left"/>
        <w:rPr>
          <w:rFonts w:hint="default" w:ascii="Times New Roman" w:hAnsi="Times New Roman" w:eastAsia="宋体" w:cs="Times New Roman"/>
          <w:kern w:val="2"/>
          <w:sz w:val="24"/>
          <w:szCs w:val="24"/>
          <w:lang w:val="en-US" w:eastAsia="zh-CN"/>
        </w:rPr>
      </w:pPr>
      <w:r>
        <w:rPr>
          <w:rFonts w:hint="default" w:ascii="Times New Roman" w:hAnsi="Times New Roman" w:cs="Times New Roman"/>
          <w:kern w:val="2"/>
          <w:sz w:val="24"/>
          <w:szCs w:val="24"/>
        </w:rPr>
        <w:t>本</w:t>
      </w:r>
      <w:r>
        <w:rPr>
          <w:rFonts w:hint="default" w:ascii="Times New Roman" w:hAnsi="Times New Roman" w:cs="Times New Roman"/>
          <w:kern w:val="2"/>
          <w:sz w:val="24"/>
          <w:szCs w:val="24"/>
          <w:lang w:val="en-US" w:eastAsia="zh-CN"/>
        </w:rPr>
        <w:t>附录规定了火焰原子吸收光谱法测量钠含量的方法原理、试剂和材料、仪器和设备、测定。</w:t>
      </w:r>
    </w:p>
    <w:p w14:paraId="45E80EFF">
      <w:pPr>
        <w:pStyle w:val="58"/>
        <w:tabs>
          <w:tab w:val="left" w:pos="641"/>
        </w:tabs>
        <w:spacing w:before="0" w:line="360" w:lineRule="auto"/>
        <w:ind w:left="0" w:firstLine="480" w:firstLineChars="200"/>
        <w:jc w:val="left"/>
        <w:rPr>
          <w:rFonts w:hint="default" w:ascii="Times New Roman" w:hAnsi="Times New Roman" w:cs="Times New Roman"/>
          <w:sz w:val="24"/>
        </w:rPr>
      </w:pPr>
      <w:r>
        <w:rPr>
          <w:rFonts w:hint="default" w:ascii="Times New Roman" w:hAnsi="Times New Roman" w:cs="Times New Roman"/>
          <w:kern w:val="2"/>
          <w:sz w:val="24"/>
          <w:szCs w:val="24"/>
          <w:lang w:val="en-US" w:eastAsia="zh-CN"/>
        </w:rPr>
        <w:t>本附录</w:t>
      </w:r>
      <w:r>
        <w:rPr>
          <w:rFonts w:hint="default" w:ascii="Times New Roman" w:hAnsi="Times New Roman" w:cs="Times New Roman"/>
          <w:kern w:val="2"/>
          <w:sz w:val="24"/>
          <w:szCs w:val="24"/>
        </w:rPr>
        <w:t>适用</w:t>
      </w:r>
      <w:r>
        <w:rPr>
          <w:rFonts w:hint="default" w:ascii="Times New Roman" w:hAnsi="Times New Roman" w:cs="Times New Roman"/>
          <w:kern w:val="2"/>
          <w:sz w:val="24"/>
          <w:szCs w:val="24"/>
          <w:lang w:val="en-US" w:eastAsia="zh-CN"/>
        </w:rPr>
        <w:t>于锰基新能源材料用电解金属锰中钠</w:t>
      </w:r>
      <w:r>
        <w:rPr>
          <w:rFonts w:hint="default" w:ascii="Times New Roman" w:hAnsi="Times New Roman" w:cs="Times New Roman"/>
          <w:kern w:val="2"/>
          <w:sz w:val="24"/>
          <w:szCs w:val="24"/>
        </w:rPr>
        <w:t>含量</w:t>
      </w:r>
      <w:r>
        <w:rPr>
          <w:rFonts w:hint="default" w:ascii="Times New Roman" w:hAnsi="Times New Roman" w:cs="Times New Roman"/>
          <w:kern w:val="2"/>
          <w:sz w:val="24"/>
          <w:szCs w:val="24"/>
          <w:lang w:val="en-US" w:eastAsia="zh-CN"/>
        </w:rPr>
        <w:t>的测定。测</w:t>
      </w:r>
      <w:r>
        <w:rPr>
          <w:rFonts w:hint="default" w:ascii="Times New Roman" w:hAnsi="Times New Roman" w:cs="Times New Roman"/>
          <w:sz w:val="24"/>
        </w:rPr>
        <w:t>定范围（质量分数,</w:t>
      </w:r>
      <w:r>
        <w:rPr>
          <w:rFonts w:hint="default" w:ascii="Times New Roman" w:hAnsi="Times New Roman" w:cs="Times New Roman"/>
          <w:sz w:val="24"/>
        </w:rPr>
        <w:t>ω</w:t>
      </w:r>
      <w:r>
        <w:rPr>
          <w:rFonts w:hint="default" w:ascii="Times New Roman" w:hAnsi="Times New Roman" w:cs="Times New Roman"/>
          <w:sz w:val="24"/>
        </w:rPr>
        <w:t>）≥0.0001%。</w:t>
      </w:r>
    </w:p>
    <w:p w14:paraId="4B8BF99B">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E.2方法原理</w:t>
      </w:r>
    </w:p>
    <w:p w14:paraId="032E979E">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试样经硝酸溶解后，将试样喷入空气-乙块火焰中，用钠空心阴极灯作光源，于原子吸收光谱仪波长588.99nm处测量吸收光度，从而确定钠或氧化钠的含量。</w:t>
      </w:r>
    </w:p>
    <w:p w14:paraId="11F643CC">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E.3试剂和材料</w:t>
      </w:r>
    </w:p>
    <w:p w14:paraId="1D6D0774">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除非另有说明，在分析中仅使用确认为分析纯的试剂。本方法所用的水全部为符合 GB/T 6682规定的一级水。</w:t>
      </w:r>
    </w:p>
    <w:p w14:paraId="4E54E045">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E.3.1 硝酸(ρ=1.42g/mL)优级纯</w:t>
      </w:r>
      <w:r>
        <w:rPr>
          <w:rFonts w:hint="default" w:ascii="Times New Roman" w:hAnsi="Times New Roman" w:cs="Times New Roman"/>
          <w:sz w:val="24"/>
          <w:lang w:eastAsia="zh-CN"/>
        </w:rPr>
        <w:t>。</w:t>
      </w:r>
    </w:p>
    <w:p w14:paraId="6089A131">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E.3.2 钠单元素标准溶液（1000μg/mL），逐级稀释至10μg/mL</w:t>
      </w:r>
      <w:r>
        <w:rPr>
          <w:rFonts w:hint="default" w:ascii="Times New Roman" w:hAnsi="Times New Roman" w:cs="Times New Roman"/>
          <w:sz w:val="24"/>
          <w:lang w:eastAsia="zh-CN"/>
        </w:rPr>
        <w:t>。</w:t>
      </w:r>
    </w:p>
    <w:p w14:paraId="1236AF1F">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E.3.3 盐酸(ρ=1.19g/ml)：优级纯</w:t>
      </w:r>
      <w:r>
        <w:rPr>
          <w:rFonts w:hint="default" w:ascii="Times New Roman" w:hAnsi="Times New Roman" w:cs="Times New Roman"/>
          <w:sz w:val="24"/>
          <w:lang w:eastAsia="zh-CN"/>
        </w:rPr>
        <w:t>。</w:t>
      </w:r>
    </w:p>
    <w:p w14:paraId="407B4CF5">
      <w:pPr>
        <w:spacing w:line="360" w:lineRule="auto"/>
        <w:jc w:val="left"/>
        <w:rPr>
          <w:rFonts w:hint="default" w:ascii="Times New Roman" w:hAnsi="Times New Roman" w:eastAsia="宋体" w:cs="Times New Roman"/>
          <w:sz w:val="24"/>
          <w:lang w:eastAsia="zh-CN"/>
        </w:rPr>
      </w:pPr>
      <w:r>
        <w:rPr>
          <w:rFonts w:hint="default" w:ascii="Times New Roman" w:hAnsi="Times New Roman" w:cs="Times New Roman"/>
          <w:sz w:val="24"/>
        </w:rPr>
        <w:t>E.3.4 过氧化氢(体积分数为30%)</w:t>
      </w:r>
      <w:r>
        <w:rPr>
          <w:rFonts w:hint="default" w:ascii="Times New Roman" w:hAnsi="Times New Roman" w:cs="Times New Roman"/>
          <w:sz w:val="24"/>
          <w:lang w:eastAsia="zh-CN"/>
        </w:rPr>
        <w:t>。</w:t>
      </w:r>
    </w:p>
    <w:p w14:paraId="638B4C7B">
      <w:pPr>
        <w:spacing w:line="360" w:lineRule="auto"/>
        <w:jc w:val="left"/>
        <w:rPr>
          <w:rFonts w:hint="default" w:ascii="Times New Roman" w:hAnsi="Times New Roman" w:cs="Times New Roman"/>
          <w:sz w:val="24"/>
        </w:rPr>
      </w:pPr>
      <w:r>
        <w:rPr>
          <w:rFonts w:hint="default" w:ascii="Times New Roman" w:hAnsi="Times New Roman" w:cs="Times New Roman"/>
          <w:sz w:val="24"/>
        </w:rPr>
        <w:t>E.3.5 氧化钠标准溶液</w:t>
      </w:r>
    </w:p>
    <w:p w14:paraId="0DA8DFA1">
      <w:pPr>
        <w:spacing w:line="360" w:lineRule="auto"/>
        <w:jc w:val="left"/>
        <w:rPr>
          <w:rFonts w:hint="default" w:ascii="Times New Roman" w:hAnsi="Times New Roman" w:cs="Times New Roman"/>
          <w:sz w:val="24"/>
        </w:rPr>
      </w:pPr>
      <w:r>
        <w:rPr>
          <w:rFonts w:hint="default" w:ascii="Times New Roman" w:hAnsi="Times New Roman" w:cs="Times New Roman"/>
          <w:sz w:val="24"/>
        </w:rPr>
        <w:t>E.3.5.1 准确称取1.8858g(精确至0.0001g)高纯氯化钠于200mL烧杯中，用水溶解，然后转入1000mL容量瓶中，用水定容。转入干燥的塑料瓶中保存。此溶液含氧化钠1.000mg/mL。</w:t>
      </w:r>
    </w:p>
    <w:p w14:paraId="0F5D77F0">
      <w:pPr>
        <w:spacing w:line="360" w:lineRule="auto"/>
        <w:jc w:val="left"/>
        <w:rPr>
          <w:rFonts w:hint="default" w:ascii="Times New Roman" w:hAnsi="Times New Roman" w:cs="Times New Roman"/>
          <w:sz w:val="24"/>
        </w:rPr>
      </w:pPr>
      <w:r>
        <w:rPr>
          <w:rFonts w:hint="default" w:ascii="Times New Roman" w:hAnsi="Times New Roman" w:cs="Times New Roman"/>
          <w:sz w:val="24"/>
        </w:rPr>
        <w:t>E.3.5.2 准确吸取25.00mL上述氧化钠标准溶液于500mL容量瓶中，以水定容，转入干燥的塑料瓶中保存。此溶液含有氧化钠20.00μg/mL。</w:t>
      </w:r>
    </w:p>
    <w:p w14:paraId="4D294EAB">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E.4仪器和设备</w:t>
      </w:r>
    </w:p>
    <w:p w14:paraId="140B4FC7">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原子吸收光谱仪，配备有空气-乙炔燃烧器，钠空心阴极灯。在最佳工作条件下，所用仪器应达到下列指标：</w:t>
      </w:r>
    </w:p>
    <w:p w14:paraId="6E8E4281">
      <w:pPr>
        <w:spacing w:line="360" w:lineRule="auto"/>
        <w:jc w:val="left"/>
        <w:rPr>
          <w:rFonts w:hint="default" w:ascii="Times New Roman" w:hAnsi="Times New Roman" w:cs="Times New Roman"/>
          <w:sz w:val="24"/>
        </w:rPr>
      </w:pPr>
      <w:r>
        <w:rPr>
          <w:rFonts w:hint="default" w:ascii="Times New Roman" w:hAnsi="Times New Roman" w:cs="Times New Roman"/>
          <w:sz w:val="24"/>
        </w:rPr>
        <w:t>E.4.1精密度最低要求</w:t>
      </w:r>
    </w:p>
    <w:p w14:paraId="0FCDC0E9">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用最高浓度的标准溶液测量10次吸收光度,计算其吸光度的平均值和标准偏差该标准偏差不应超过该吸光度平均值的1.5%。</w:t>
      </w:r>
    </w:p>
    <w:p w14:paraId="4460CAD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用最低浓度的标准溶液(不是零浓度标准溶液)测量10次吸光度，计算标准偏差。该标准偏差不应超过最高浓度标准溶液平均吸光度的0.5%。</w:t>
      </w:r>
    </w:p>
    <w:p w14:paraId="73F21DB8">
      <w:pPr>
        <w:spacing w:line="360" w:lineRule="auto"/>
        <w:jc w:val="left"/>
        <w:rPr>
          <w:rFonts w:hint="default" w:ascii="Times New Roman" w:hAnsi="Times New Roman" w:cs="Times New Roman"/>
          <w:sz w:val="24"/>
        </w:rPr>
      </w:pPr>
      <w:r>
        <w:rPr>
          <w:rFonts w:hint="default" w:ascii="Times New Roman" w:hAnsi="Times New Roman" w:cs="Times New Roman"/>
          <w:sz w:val="24"/>
        </w:rPr>
        <w:t>E.4</w:t>
      </w:r>
      <w:r>
        <w:rPr>
          <w:rFonts w:hint="default" w:ascii="Times New Roman" w:hAnsi="Times New Roman" w:cs="Times New Roman"/>
          <w:sz w:val="24"/>
          <w:lang w:val="en-US" w:eastAsia="zh-CN"/>
        </w:rPr>
        <w:t>.</w:t>
      </w:r>
      <w:r>
        <w:rPr>
          <w:rFonts w:hint="default" w:ascii="Times New Roman" w:hAnsi="Times New Roman" w:cs="Times New Roman"/>
          <w:sz w:val="24"/>
        </w:rPr>
        <w:t>2工作曲线的线性：将工作曲线按浓度等分5段，最高段的吸光度差值与最低段的吸光度差值之比不应小于0.7。</w:t>
      </w:r>
    </w:p>
    <w:p w14:paraId="14389239">
      <w:pPr>
        <w:spacing w:line="360" w:lineRule="auto"/>
        <w:jc w:val="left"/>
        <w:rPr>
          <w:rFonts w:hint="default" w:ascii="Times New Roman" w:hAnsi="Times New Roman" w:cs="Times New Roman"/>
          <w:sz w:val="24"/>
        </w:rPr>
      </w:pPr>
      <w:r>
        <w:rPr>
          <w:rFonts w:hint="default" w:ascii="Times New Roman" w:hAnsi="Times New Roman" w:cs="Times New Roman"/>
          <w:sz w:val="24"/>
        </w:rPr>
        <w:t>E.4.3灵敏度：在测量试料溶液的基体相一致的溶液中，钾的特征浓度应不大于0.02μg/mL。</w:t>
      </w:r>
    </w:p>
    <w:p w14:paraId="2BA77D24">
      <w:pPr>
        <w:pStyle w:val="58"/>
        <w:tabs>
          <w:tab w:val="left" w:pos="641"/>
        </w:tabs>
        <w:spacing w:before="0" w:line="360" w:lineRule="auto"/>
        <w:ind w:left="0" w:firstLine="0"/>
        <w:jc w:val="left"/>
        <w:outlineLvl w:val="1"/>
        <w:rPr>
          <w:rFonts w:hint="default" w:ascii="Times New Roman" w:hAnsi="Times New Roman" w:cs="Times New Roman"/>
          <w:b/>
          <w:bCs/>
          <w:sz w:val="24"/>
        </w:rPr>
      </w:pPr>
      <w:r>
        <w:rPr>
          <w:rFonts w:hint="default" w:ascii="Times New Roman" w:hAnsi="Times New Roman" w:cs="Times New Roman"/>
          <w:b/>
          <w:bCs/>
          <w:sz w:val="24"/>
        </w:rPr>
        <w:t>E.5测定</w:t>
      </w:r>
    </w:p>
    <w:p w14:paraId="5AD031B9">
      <w:pPr>
        <w:spacing w:line="360" w:lineRule="auto"/>
        <w:jc w:val="left"/>
        <w:rPr>
          <w:rFonts w:hint="default" w:ascii="Times New Roman" w:hAnsi="Times New Roman" w:cs="Times New Roman"/>
          <w:sz w:val="24"/>
        </w:rPr>
      </w:pPr>
      <w:r>
        <w:rPr>
          <w:rFonts w:hint="default" w:ascii="Times New Roman" w:hAnsi="Times New Roman" w:cs="Times New Roman"/>
          <w:sz w:val="24"/>
        </w:rPr>
        <w:t>E.5.1钠含量的测定</w:t>
      </w:r>
    </w:p>
    <w:p w14:paraId="6F10956B">
      <w:pPr>
        <w:spacing w:line="360" w:lineRule="auto"/>
        <w:jc w:val="left"/>
        <w:rPr>
          <w:rFonts w:hint="default" w:ascii="Times New Roman" w:hAnsi="Times New Roman" w:cs="Times New Roman"/>
          <w:sz w:val="24"/>
        </w:rPr>
      </w:pPr>
      <w:r>
        <w:rPr>
          <w:rFonts w:hint="default" w:ascii="Times New Roman" w:hAnsi="Times New Roman" w:cs="Times New Roman"/>
          <w:sz w:val="24"/>
        </w:rPr>
        <w:t>E.5.1.1试样的分解</w:t>
      </w:r>
    </w:p>
    <w:p w14:paraId="4B4EB22B">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称取1.0000g试样，精确至0.0001g。置于100mL高型烧杯中，加入10mL硝酸（见E.3.1）溶解，待试样澄清后，转移至100mL容量瓶中，以水稀释至刻度，混匀(若混浊，以快速滤纸干过滤)。随同试样做空白试验。</w:t>
      </w:r>
    </w:p>
    <w:p w14:paraId="676D6D9A">
      <w:pPr>
        <w:spacing w:line="360" w:lineRule="auto"/>
        <w:jc w:val="left"/>
        <w:rPr>
          <w:rFonts w:hint="default" w:ascii="Times New Roman" w:hAnsi="Times New Roman" w:cs="Times New Roman"/>
          <w:sz w:val="24"/>
        </w:rPr>
      </w:pPr>
      <w:r>
        <w:rPr>
          <w:rFonts w:hint="default" w:ascii="Times New Roman" w:hAnsi="Times New Roman" w:cs="Times New Roman"/>
          <w:sz w:val="24"/>
        </w:rPr>
        <w:t>E.5.1.2试样的测定</w:t>
      </w:r>
    </w:p>
    <w:p w14:paraId="5668B682">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测量打开仪器预热 30min以上，按原子吸收分光光度计使用说明书和分析要求设置分析条件，于各元素特征波长处测量不同元素的光谱强度，从各元素校准曲线上查出相应的元素量。</w:t>
      </w:r>
    </w:p>
    <w:p w14:paraId="50D84546">
      <w:pPr>
        <w:spacing w:line="360" w:lineRule="auto"/>
        <w:jc w:val="left"/>
        <w:rPr>
          <w:rFonts w:hint="default" w:ascii="Times New Roman" w:hAnsi="Times New Roman" w:cs="Times New Roman"/>
          <w:sz w:val="24"/>
        </w:rPr>
      </w:pPr>
      <w:r>
        <w:rPr>
          <w:rFonts w:hint="default" w:ascii="Times New Roman" w:hAnsi="Times New Roman" w:cs="Times New Roman"/>
          <w:sz w:val="24"/>
        </w:rPr>
        <w:t>E.5.1.3校准曲线的绘制</w:t>
      </w:r>
    </w:p>
    <w:p w14:paraId="1929862E">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 xml:space="preserve">分别用0.00μg/mL、0.10μg/mL、0.20μg/mL、0.30μg/mL、0.40μg/mL、0.50μg/mL的标准溶液绘制钠元素的标准曲线（可根据样品含量调绘制整校准曲线标准溶液的浓度），测量其中各组分的光谱强度。以横坐标为标准浓度，纵坐标为光谱强度绘制校准曲线，其线性相关系数应不小于0.995。             </w:t>
      </w:r>
    </w:p>
    <w:p w14:paraId="7216294F">
      <w:pPr>
        <w:spacing w:line="360" w:lineRule="auto"/>
        <w:jc w:val="left"/>
        <w:rPr>
          <w:rFonts w:hint="default" w:ascii="Times New Roman" w:hAnsi="Times New Roman" w:cs="Times New Roman"/>
          <w:sz w:val="24"/>
        </w:rPr>
      </w:pPr>
      <w:r>
        <w:rPr>
          <w:rFonts w:hint="default" w:ascii="Times New Roman" w:hAnsi="Times New Roman" w:cs="Times New Roman"/>
          <w:sz w:val="24"/>
        </w:rPr>
        <w:t>E.5.1.4计算</w:t>
      </w:r>
    </w:p>
    <w:p w14:paraId="7569E73D">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按下式计算待测元素的百分含量(质量分数)，数值以%表示：</w:t>
      </w:r>
    </w:p>
    <w:p w14:paraId="1C134668">
      <w:pPr>
        <w:spacing w:line="360" w:lineRule="auto"/>
        <w:jc w:val="center"/>
        <w:rPr>
          <w:rFonts w:hint="default" w:ascii="Times New Roman" w:hAnsi="Times New Roman" w:eastAsia="宋体" w:cs="Times New Roman"/>
          <w:iCs/>
          <w:sz w:val="22"/>
          <w:lang w:val="en-US" w:eastAsia="zh-CN"/>
        </w:rPr>
      </w:pPr>
      <w:r>
        <w:rPr>
          <w:rFonts w:hint="default" w:ascii="Times New Roman" w:hAnsi="Times New Roman" w:cs="Times New Roman"/>
          <w:i w:val="0"/>
          <w:iCs w:val="0"/>
          <w:sz w:val="28"/>
          <w:szCs w:val="32"/>
          <w:lang w:val="en-US" w:eastAsia="zh-CN"/>
        </w:rPr>
        <w:t xml:space="preserve">                 </w:t>
      </w:r>
      <m:oMath>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ω</m:t>
            </m:r>
            <m:ctrlPr>
              <w:rPr>
                <w:rFonts w:hint="default" w:ascii="Cambria Math" w:hAnsi="Cambria Math" w:cs="Times New Roman"/>
                <w:i/>
                <w:iCs w:val="0"/>
                <w:sz w:val="28"/>
                <w:szCs w:val="32"/>
              </w:rPr>
            </m:ctrlPr>
          </m:e>
          <m:sub>
            <m:r>
              <m:rPr>
                <m:nor/>
              </m:rPr>
              <w:rPr>
                <w:rFonts w:hint="default" w:ascii="Times New Roman" w:hAnsi="Times New Roman" w:cs="Times New Roman"/>
                <w:i/>
                <w:sz w:val="28"/>
                <w:szCs w:val="32"/>
              </w:rPr>
              <m:t>Na</m:t>
            </m:r>
            <m:ctrlPr>
              <w:rPr>
                <w:rFonts w:hint="default" w:ascii="Cambria Math" w:hAnsi="Cambria Math" w:cs="Times New Roman"/>
                <w:i/>
                <w:iCs w:val="0"/>
                <w:sz w:val="28"/>
                <w:szCs w:val="32"/>
              </w:rPr>
            </m:ctrlPr>
          </m:sub>
        </m:sSub>
        <m:r>
          <m:rPr>
            <m:nor/>
            <m:sty m:val="p"/>
          </m:rPr>
          <w:rPr>
            <w:rFonts w:hint="default" w:ascii="Times New Roman" w:hAnsi="Times New Roman" w:cs="Times New Roman"/>
            <w:i w:val="0"/>
            <w:sz w:val="28"/>
            <w:szCs w:val="32"/>
          </w:rPr>
          <m:t>=</m:t>
        </m:r>
        <m:f>
          <m:fPr>
            <m:ctrlPr>
              <w:rPr>
                <w:rFonts w:hint="default" w:ascii="Cambria Math" w:hAnsi="Cambria Math" w:cs="Times New Roman"/>
                <w:i/>
                <w:iCs w:val="0"/>
                <w:sz w:val="28"/>
                <w:szCs w:val="32"/>
              </w:rPr>
            </m:ctrlPr>
          </m:fPr>
          <m:num>
            <m:r>
              <m:rPr>
                <m:nor/>
              </m:rPr>
              <w:rPr>
                <w:rFonts w:hint="default" w:ascii="Times New Roman" w:hAnsi="Times New Roman" w:cs="Times New Roman"/>
                <w:i/>
                <w:sz w:val="28"/>
                <w:szCs w:val="32"/>
              </w:rPr>
              <m:t>C</m:t>
            </m:r>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f</m:t>
            </m:r>
            <m:sSup>
              <m:sSupPr>
                <m:ctrlPr>
                  <w:rPr>
                    <w:rFonts w:hint="default" w:ascii="Cambria Math" w:hAnsi="Cambria Math" w:cs="Times New Roman"/>
                    <w:i/>
                    <w:iCs w:val="0"/>
                    <w:sz w:val="28"/>
                    <w:szCs w:val="32"/>
                  </w:rPr>
                </m:ctrlPr>
              </m:sSupPr>
              <m:e>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V</m:t>
                </m:r>
                <m:r>
                  <m:rPr>
                    <m:nor/>
                    <m:sty m:val="p"/>
                  </m:rPr>
                  <w:rPr>
                    <w:rFonts w:hint="default" w:ascii="Times New Roman" w:hAnsi="Times New Roman" w:cs="Times New Roman"/>
                    <w:i w:val="0"/>
                    <w:sz w:val="28"/>
                    <w:szCs w:val="32"/>
                  </w:rPr>
                  <m:t>×10</m:t>
                </m:r>
                <m:ctrlPr>
                  <w:rPr>
                    <w:rFonts w:hint="default" w:ascii="Cambria Math" w:hAnsi="Cambria Math" w:cs="Times New Roman"/>
                    <w:i/>
                    <w:iCs w:val="0"/>
                    <w:sz w:val="28"/>
                    <w:szCs w:val="32"/>
                  </w:rPr>
                </m:ctrlPr>
              </m:e>
              <m:sup>
                <m:r>
                  <m:rPr>
                    <m:nor/>
                    <m:sty m:val="p"/>
                  </m:rPr>
                  <w:rPr>
                    <w:rFonts w:hint="default" w:ascii="Times New Roman" w:hAnsi="Times New Roman" w:cs="Times New Roman"/>
                    <w:i w:val="0"/>
                    <w:sz w:val="28"/>
                    <w:szCs w:val="32"/>
                  </w:rPr>
                  <m:t>−6</m:t>
                </m:r>
                <m:ctrlPr>
                  <w:rPr>
                    <w:rFonts w:hint="default" w:ascii="Cambria Math" w:hAnsi="Cambria Math" w:cs="Times New Roman"/>
                    <w:i/>
                    <w:iCs w:val="0"/>
                    <w:sz w:val="28"/>
                    <w:szCs w:val="32"/>
                  </w:rPr>
                </m:ctrlPr>
              </m:sup>
            </m:sSup>
            <m:ctrlPr>
              <w:rPr>
                <w:rFonts w:hint="default" w:ascii="Cambria Math" w:hAnsi="Cambria Math" w:cs="Times New Roman"/>
                <w:i/>
                <w:iCs w:val="0"/>
                <w:sz w:val="28"/>
                <w:szCs w:val="32"/>
              </w:rPr>
            </m:ctrlPr>
          </m:num>
          <m:den>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m</m:t>
                </m:r>
                <m:ctrlPr>
                  <w:rPr>
                    <w:rFonts w:hint="default" w:ascii="Cambria Math" w:hAnsi="Cambria Math" w:cs="Times New Roman"/>
                    <w:i/>
                    <w:iCs w:val="0"/>
                    <w:sz w:val="28"/>
                    <w:szCs w:val="32"/>
                  </w:rPr>
                </m:ctrlPr>
              </m:e>
              <m:sub>
                <m:r>
                  <m:rPr>
                    <m:nor/>
                    <m:sty m:val="p"/>
                  </m:rPr>
                  <w:rPr>
                    <w:rFonts w:hint="default" w:ascii="Times New Roman" w:hAnsi="Times New Roman" w:cs="Times New Roman"/>
                    <w:i w:val="0"/>
                    <w:sz w:val="28"/>
                    <w:szCs w:val="32"/>
                  </w:rPr>
                  <m:t>0</m:t>
                </m:r>
                <m:ctrlPr>
                  <w:rPr>
                    <w:rFonts w:hint="default" w:ascii="Cambria Math" w:hAnsi="Cambria Math" w:cs="Times New Roman"/>
                    <w:i/>
                    <w:iCs w:val="0"/>
                    <w:sz w:val="28"/>
                    <w:szCs w:val="32"/>
                  </w:rPr>
                </m:ctrlPr>
              </m:sub>
            </m:sSub>
            <m:ctrlPr>
              <w:rPr>
                <w:rFonts w:hint="default" w:ascii="Cambria Math" w:hAnsi="Cambria Math" w:cs="Times New Roman"/>
                <w:i/>
                <w:iCs w:val="0"/>
                <w:sz w:val="28"/>
                <w:szCs w:val="32"/>
              </w:rPr>
            </m:ctrlPr>
          </m:den>
        </m:f>
        <m:r>
          <m:rPr>
            <m:nor/>
            <m:sty m:val="p"/>
          </m:rPr>
          <w:rPr>
            <w:rFonts w:hint="default" w:ascii="Times New Roman" w:hAnsi="Times New Roman" w:cs="Times New Roman"/>
            <w:b w:val="0"/>
            <w:i w:val="0"/>
            <w:sz w:val="28"/>
            <w:szCs w:val="32"/>
          </w:rPr>
          <m:t>×1</m:t>
        </m:r>
        <m:r>
          <m:rPr>
            <m:nor/>
            <m:sty m:val="p"/>
          </m:rPr>
          <w:rPr>
            <w:rFonts w:hint="default" w:ascii="Times New Roman" w:hAnsi="Times New Roman" w:cs="Times New Roman"/>
            <w:b w:val="0"/>
            <w:i w:val="0"/>
            <w:sz w:val="28"/>
          </w:rPr>
          <m:t>00%</m:t>
        </m:r>
      </m:oMath>
      <w:r>
        <w:rPr>
          <w:rFonts w:hint="default" w:ascii="Times New Roman" w:hAnsi="Times New Roman" w:cs="Times New Roman"/>
          <w:b w:val="0"/>
          <w:i w:val="0"/>
          <w:sz w:val="22"/>
          <w:lang w:val="en-US" w:eastAsia="zh-CN"/>
        </w:rPr>
        <w:t xml:space="preserve">      </w:t>
      </w:r>
      <w:r>
        <w:rPr>
          <w:rFonts w:hint="default" w:ascii="Times New Roman" w:hAnsi="Times New Roman" w:cs="Times New Roman"/>
          <w:b w:val="0"/>
          <w:i w:val="0"/>
          <w:sz w:val="22"/>
          <w:szCs w:val="36"/>
          <w:lang w:val="en-US" w:eastAsia="zh-CN"/>
        </w:rPr>
        <w:t xml:space="preserve">                 </w:t>
      </w:r>
      <w:r>
        <w:rPr>
          <w:rFonts w:hint="default" w:ascii="Times New Roman" w:hAnsi="Times New Roman" w:cs="Times New Roman"/>
          <w:b w:val="0"/>
          <w:i w:val="0"/>
          <w:szCs w:val="36"/>
          <w:lang w:val="en-US" w:eastAsia="zh-CN"/>
        </w:rPr>
        <w:t>（E.1）</w:t>
      </w:r>
    </w:p>
    <w:p w14:paraId="22396955">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式中：</w:t>
      </w:r>
    </w:p>
    <w:p w14:paraId="53B5CAD4">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C</w:t>
      </w:r>
      <w:r>
        <w:rPr>
          <w:rFonts w:hint="default" w:ascii="Times New Roman" w:hAnsi="Times New Roman" w:cs="Times New Roman"/>
          <w:sz w:val="24"/>
        </w:rPr>
        <w:t>—测得的试液中元素的浓度，单位为微克每毫升</w:t>
      </w:r>
      <w:r>
        <w:rPr>
          <w:rFonts w:hint="eastAsia" w:cs="Times New Roman"/>
          <w:sz w:val="24"/>
          <w:lang w:eastAsia="zh-CN"/>
        </w:rPr>
        <w:t>（</w:t>
      </w:r>
      <w:r>
        <w:rPr>
          <w:rFonts w:hint="default" w:ascii="Times New Roman" w:hAnsi="Times New Roman" w:cs="Times New Roman"/>
          <w:sz w:val="24"/>
        </w:rPr>
        <w:t>μg/mL</w:t>
      </w:r>
      <w:r>
        <w:rPr>
          <w:rFonts w:hint="eastAsia" w:cs="Times New Roman"/>
          <w:sz w:val="24"/>
          <w:lang w:eastAsia="zh-CN"/>
        </w:rPr>
        <w:t>）</w:t>
      </w:r>
      <w:r>
        <w:rPr>
          <w:rFonts w:hint="default" w:ascii="Times New Roman" w:hAnsi="Times New Roman" w:cs="Times New Roman"/>
          <w:sz w:val="24"/>
        </w:rPr>
        <w:t>；</w:t>
      </w:r>
    </w:p>
    <w:p w14:paraId="07402983">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f</w:t>
      </w:r>
      <w:r>
        <w:rPr>
          <w:rFonts w:hint="default" w:ascii="Times New Roman" w:hAnsi="Times New Roman" w:cs="Times New Roman"/>
          <w:sz w:val="24"/>
        </w:rPr>
        <w:t>—稀释倍数；</w:t>
      </w:r>
    </w:p>
    <w:p w14:paraId="09596C0F">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V</w:t>
      </w:r>
      <w:r>
        <w:rPr>
          <w:rFonts w:hint="default" w:ascii="Times New Roman" w:hAnsi="Times New Roman" w:cs="Times New Roman"/>
          <w:sz w:val="24"/>
        </w:rPr>
        <w:t>—溶液总体积，单位为毫升（mL）；</w:t>
      </w:r>
    </w:p>
    <w:p w14:paraId="3332B570">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m</w:t>
      </w:r>
      <w:r>
        <w:rPr>
          <w:rFonts w:hint="default" w:ascii="Times New Roman" w:hAnsi="Times New Roman" w:cs="Times New Roman"/>
          <w:i/>
          <w:iCs/>
          <w:sz w:val="24"/>
          <w:vertAlign w:val="subscript"/>
        </w:rPr>
        <w:t>0</w:t>
      </w:r>
      <w:r>
        <w:rPr>
          <w:rFonts w:hint="default" w:ascii="Times New Roman" w:hAnsi="Times New Roman" w:cs="Times New Roman"/>
          <w:sz w:val="24"/>
        </w:rPr>
        <w:t>—称取的试样量，单位为克（g）。</w:t>
      </w:r>
    </w:p>
    <w:p w14:paraId="582389F5">
      <w:pPr>
        <w:spacing w:line="360" w:lineRule="auto"/>
        <w:jc w:val="left"/>
        <w:rPr>
          <w:rFonts w:hint="default" w:ascii="Times New Roman" w:hAnsi="Times New Roman" w:cs="Times New Roman"/>
          <w:sz w:val="24"/>
        </w:rPr>
      </w:pPr>
      <w:r>
        <w:rPr>
          <w:rFonts w:hint="default" w:ascii="Times New Roman" w:hAnsi="Times New Roman" w:cs="Times New Roman"/>
          <w:sz w:val="24"/>
        </w:rPr>
        <w:t>E.5.2氧化钠含量的测定</w:t>
      </w:r>
    </w:p>
    <w:p w14:paraId="04064F42">
      <w:pPr>
        <w:spacing w:line="360" w:lineRule="auto"/>
        <w:jc w:val="left"/>
        <w:rPr>
          <w:rFonts w:hint="default" w:ascii="Times New Roman" w:hAnsi="Times New Roman" w:cs="Times New Roman"/>
          <w:sz w:val="24"/>
        </w:rPr>
      </w:pPr>
      <w:r>
        <w:rPr>
          <w:rFonts w:hint="default" w:ascii="Times New Roman" w:hAnsi="Times New Roman" w:cs="Times New Roman"/>
          <w:sz w:val="24"/>
        </w:rPr>
        <w:t>E.5.2.1试样的分解</w:t>
      </w:r>
    </w:p>
    <w:p w14:paraId="11FB9D86">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 xml:space="preserve">称取10.0000g（精确至0.0001g）试样，置于烧杯中，用少量水湿润，加40 mL盐酸（见E.3.3），加热溶解，滴加过氧化氢（见E.3.4）使暗色褪去，小心蒸干，加10mL盐酸（见E.3.3），用水洗杯壁，加热使溶解盐类，冷却后转入200mL容量瓶中，  </w:t>
      </w:r>
    </w:p>
    <w:p w14:paraId="2275AAA1">
      <w:pPr>
        <w:spacing w:line="360" w:lineRule="auto"/>
        <w:jc w:val="left"/>
        <w:rPr>
          <w:rFonts w:hint="default" w:ascii="Times New Roman" w:hAnsi="Times New Roman" w:cs="Times New Roman"/>
          <w:sz w:val="24"/>
        </w:rPr>
      </w:pPr>
      <w:r>
        <w:rPr>
          <w:rFonts w:hint="default" w:ascii="Times New Roman" w:hAnsi="Times New Roman" w:cs="Times New Roman"/>
          <w:sz w:val="24"/>
        </w:rPr>
        <w:t>E.5.2.2计算</w:t>
      </w:r>
    </w:p>
    <w:p w14:paraId="0C719511">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按下式计算待测元素的百分含量(质量分数)，数值以%表示：</w:t>
      </w:r>
    </w:p>
    <w:p w14:paraId="612FD6C2">
      <w:pPr>
        <w:spacing w:line="360" w:lineRule="auto"/>
        <w:jc w:val="center"/>
        <w:rPr>
          <w:rFonts w:hint="default" w:ascii="Times New Roman" w:hAnsi="Times New Roman" w:eastAsia="宋体" w:cs="Times New Roman"/>
          <w:iCs/>
          <w:sz w:val="22"/>
          <w:lang w:val="en-US" w:eastAsia="zh-CN"/>
        </w:rPr>
      </w:pPr>
      <w:r>
        <w:rPr>
          <w:rFonts w:hint="default" w:ascii="Times New Roman" w:hAnsi="Times New Roman" w:cs="Times New Roman"/>
          <w:i w:val="0"/>
          <w:iCs/>
          <w:sz w:val="22"/>
          <w:lang w:val="en-US" w:eastAsia="zh-CN"/>
        </w:rPr>
        <w:t xml:space="preserve">               </w:t>
      </w:r>
      <w:r>
        <w:rPr>
          <w:rFonts w:hint="default" w:ascii="Times New Roman" w:hAnsi="Times New Roman" w:cs="Times New Roman"/>
          <w:i w:val="0"/>
          <w:iCs/>
          <w:sz w:val="32"/>
          <w:szCs w:val="36"/>
          <w:lang w:val="en-US" w:eastAsia="zh-CN"/>
        </w:rPr>
        <w:t xml:space="preserve"> </w:t>
      </w:r>
      <m:oMath>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ω</m:t>
            </m:r>
            <m:ctrlPr>
              <w:rPr>
                <w:rFonts w:hint="default" w:ascii="Cambria Math" w:hAnsi="Cambria Math" w:cs="Times New Roman"/>
                <w:i/>
                <w:iCs w:val="0"/>
                <w:sz w:val="28"/>
                <w:szCs w:val="32"/>
              </w:rPr>
            </m:ctrlPr>
          </m:e>
          <m:sub>
            <m:r>
              <m:rPr>
                <m:nor/>
              </m:rPr>
              <w:rPr>
                <w:rFonts w:hint="default" w:ascii="Times New Roman" w:hAnsi="Times New Roman" w:cs="Times New Roman"/>
                <w:i/>
                <w:sz w:val="28"/>
                <w:szCs w:val="32"/>
              </w:rPr>
              <m:t>Na</m:t>
            </m:r>
            <m:r>
              <m:rPr>
                <m:nor/>
                <m:sty m:val="p"/>
              </m:rPr>
              <w:rPr>
                <w:rFonts w:hint="default" w:ascii="Times New Roman" w:hAnsi="Times New Roman" w:cs="Times New Roman"/>
                <w:i w:val="0"/>
                <w:sz w:val="28"/>
                <w:szCs w:val="32"/>
              </w:rPr>
              <m:t>2</m:t>
            </m:r>
            <m:r>
              <m:rPr>
                <m:nor/>
              </m:rPr>
              <w:rPr>
                <w:rFonts w:hint="default" w:ascii="Times New Roman" w:hAnsi="Times New Roman" w:cs="Times New Roman"/>
                <w:i/>
                <w:sz w:val="28"/>
                <w:szCs w:val="32"/>
              </w:rPr>
              <m:t>O</m:t>
            </m:r>
            <m:ctrlPr>
              <w:rPr>
                <w:rFonts w:hint="default" w:ascii="Cambria Math" w:hAnsi="Cambria Math" w:cs="Times New Roman"/>
                <w:i/>
                <w:iCs w:val="0"/>
                <w:sz w:val="28"/>
                <w:szCs w:val="32"/>
              </w:rPr>
            </m:ctrlPr>
          </m:sub>
        </m:sSub>
        <m:r>
          <m:rPr>
            <m:nor/>
            <m:sty m:val="p"/>
          </m:rPr>
          <w:rPr>
            <w:rFonts w:hint="default" w:ascii="Times New Roman" w:hAnsi="Times New Roman" w:cs="Times New Roman"/>
            <w:i w:val="0"/>
            <w:sz w:val="28"/>
            <w:szCs w:val="32"/>
          </w:rPr>
          <m:t>=</m:t>
        </m:r>
        <m:f>
          <m:fPr>
            <m:ctrlPr>
              <w:rPr>
                <w:rFonts w:hint="default" w:ascii="Cambria Math" w:hAnsi="Cambria Math" w:cs="Times New Roman"/>
                <w:i/>
                <w:iCs w:val="0"/>
                <w:sz w:val="28"/>
                <w:szCs w:val="32"/>
              </w:rPr>
            </m:ctrlPr>
          </m:fPr>
          <m:num>
            <m:r>
              <m:rPr>
                <m:nor/>
              </m:rPr>
              <w:rPr>
                <w:rFonts w:hint="default" w:ascii="Times New Roman" w:hAnsi="Times New Roman" w:cs="Times New Roman"/>
                <w:i/>
                <w:sz w:val="28"/>
                <w:szCs w:val="32"/>
              </w:rPr>
              <m:t>C</m:t>
            </m:r>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f</m:t>
            </m:r>
            <m:sSup>
              <m:sSupPr>
                <m:ctrlPr>
                  <w:rPr>
                    <w:rFonts w:hint="default" w:ascii="Cambria Math" w:hAnsi="Cambria Math" w:cs="Times New Roman"/>
                    <w:i/>
                    <w:iCs w:val="0"/>
                    <w:sz w:val="28"/>
                    <w:szCs w:val="32"/>
                  </w:rPr>
                </m:ctrlPr>
              </m:sSupPr>
              <m:e>
                <m:r>
                  <m:rPr>
                    <m:nor/>
                    <m:sty m:val="p"/>
                  </m:rPr>
                  <w:rPr>
                    <w:rFonts w:hint="default" w:ascii="Times New Roman" w:hAnsi="Times New Roman" w:cs="Times New Roman"/>
                    <w:i w:val="0"/>
                    <w:sz w:val="28"/>
                    <w:szCs w:val="32"/>
                  </w:rPr>
                  <m:t>×</m:t>
                </m:r>
                <m:r>
                  <m:rPr>
                    <m:nor/>
                  </m:rPr>
                  <w:rPr>
                    <w:rFonts w:hint="default" w:ascii="Times New Roman" w:hAnsi="Times New Roman" w:cs="Times New Roman"/>
                    <w:i/>
                    <w:sz w:val="28"/>
                    <w:szCs w:val="32"/>
                  </w:rPr>
                  <m:t>V</m:t>
                </m:r>
                <m:r>
                  <m:rPr>
                    <m:nor/>
                    <m:sty m:val="p"/>
                  </m:rPr>
                  <w:rPr>
                    <w:rFonts w:hint="default" w:ascii="Times New Roman" w:hAnsi="Times New Roman" w:cs="Times New Roman"/>
                    <w:i w:val="0"/>
                    <w:sz w:val="28"/>
                    <w:szCs w:val="32"/>
                  </w:rPr>
                  <m:t>×10</m:t>
                </m:r>
                <m:ctrlPr>
                  <w:rPr>
                    <w:rFonts w:hint="default" w:ascii="Cambria Math" w:hAnsi="Cambria Math" w:cs="Times New Roman"/>
                    <w:i/>
                    <w:iCs w:val="0"/>
                    <w:sz w:val="28"/>
                    <w:szCs w:val="32"/>
                  </w:rPr>
                </m:ctrlPr>
              </m:e>
              <m:sup>
                <m:r>
                  <m:rPr>
                    <m:nor/>
                    <m:sty m:val="p"/>
                  </m:rPr>
                  <w:rPr>
                    <w:rFonts w:hint="default" w:ascii="Times New Roman" w:hAnsi="Times New Roman" w:cs="Times New Roman"/>
                    <w:i w:val="0"/>
                    <w:sz w:val="28"/>
                    <w:szCs w:val="32"/>
                  </w:rPr>
                  <m:t>−6</m:t>
                </m:r>
                <m:ctrlPr>
                  <w:rPr>
                    <w:rFonts w:hint="default" w:ascii="Cambria Math" w:hAnsi="Cambria Math" w:cs="Times New Roman"/>
                    <w:i/>
                    <w:iCs w:val="0"/>
                    <w:sz w:val="28"/>
                    <w:szCs w:val="32"/>
                  </w:rPr>
                </m:ctrlPr>
              </m:sup>
            </m:sSup>
            <m:ctrlPr>
              <w:rPr>
                <w:rFonts w:hint="default" w:ascii="Cambria Math" w:hAnsi="Cambria Math" w:cs="Times New Roman"/>
                <w:i/>
                <w:iCs w:val="0"/>
                <w:sz w:val="28"/>
                <w:szCs w:val="32"/>
              </w:rPr>
            </m:ctrlPr>
          </m:num>
          <m:den>
            <m:sSub>
              <m:sSubPr>
                <m:ctrlPr>
                  <w:rPr>
                    <w:rFonts w:hint="default" w:ascii="Cambria Math" w:hAnsi="Cambria Math" w:cs="Times New Roman"/>
                    <w:i/>
                    <w:iCs w:val="0"/>
                    <w:sz w:val="28"/>
                    <w:szCs w:val="32"/>
                  </w:rPr>
                </m:ctrlPr>
              </m:sSubPr>
              <m:e>
                <m:r>
                  <m:rPr>
                    <m:nor/>
                  </m:rPr>
                  <w:rPr>
                    <w:rFonts w:hint="default" w:ascii="Times New Roman" w:hAnsi="Times New Roman" w:cs="Times New Roman"/>
                    <w:i/>
                    <w:sz w:val="28"/>
                    <w:szCs w:val="32"/>
                  </w:rPr>
                  <m:t>m</m:t>
                </m:r>
                <m:ctrlPr>
                  <w:rPr>
                    <w:rFonts w:hint="default" w:ascii="Cambria Math" w:hAnsi="Cambria Math" w:cs="Times New Roman"/>
                    <w:i/>
                    <w:iCs w:val="0"/>
                    <w:sz w:val="28"/>
                    <w:szCs w:val="32"/>
                  </w:rPr>
                </m:ctrlPr>
              </m:e>
              <m:sub>
                <m:r>
                  <m:rPr>
                    <m:nor/>
                    <m:sty m:val="p"/>
                  </m:rPr>
                  <w:rPr>
                    <w:rFonts w:hint="default" w:ascii="Times New Roman" w:hAnsi="Times New Roman" w:cs="Times New Roman"/>
                    <w:i w:val="0"/>
                    <w:sz w:val="28"/>
                    <w:szCs w:val="32"/>
                  </w:rPr>
                  <m:t>0</m:t>
                </m:r>
                <m:ctrlPr>
                  <w:rPr>
                    <w:rFonts w:hint="default" w:ascii="Cambria Math" w:hAnsi="Cambria Math" w:cs="Times New Roman"/>
                    <w:i/>
                    <w:iCs w:val="0"/>
                    <w:sz w:val="28"/>
                    <w:szCs w:val="32"/>
                  </w:rPr>
                </m:ctrlPr>
              </m:sub>
            </m:sSub>
            <m:ctrlPr>
              <w:rPr>
                <w:rFonts w:hint="default" w:ascii="Cambria Math" w:hAnsi="Cambria Math" w:cs="Times New Roman"/>
                <w:i/>
                <w:iCs w:val="0"/>
                <w:sz w:val="28"/>
                <w:szCs w:val="32"/>
              </w:rPr>
            </m:ctrlPr>
          </m:den>
        </m:f>
        <m:r>
          <m:rPr>
            <m:nor/>
            <m:sty m:val="p"/>
          </m:rPr>
          <w:rPr>
            <w:rFonts w:hint="default" w:ascii="Times New Roman" w:hAnsi="Times New Roman" w:cs="Times New Roman"/>
            <w:b w:val="0"/>
            <w:i w:val="0"/>
            <w:sz w:val="28"/>
            <w:szCs w:val="32"/>
          </w:rPr>
          <m:t>×100%</m:t>
        </m:r>
      </m:oMath>
      <w:r>
        <w:rPr>
          <w:rFonts w:hint="default" w:ascii="Times New Roman" w:hAnsi="Times New Roman" w:cs="Times New Roman"/>
          <w:b w:val="0"/>
          <w:i w:val="0"/>
          <w:sz w:val="28"/>
          <w:szCs w:val="32"/>
          <w:lang w:val="en-US" w:eastAsia="zh-CN"/>
        </w:rPr>
        <w:t xml:space="preserve"> </w:t>
      </w:r>
      <w:r>
        <w:rPr>
          <w:rFonts w:hint="default" w:ascii="Times New Roman" w:hAnsi="Times New Roman" w:cs="Times New Roman"/>
          <w:b w:val="0"/>
          <w:i w:val="0"/>
          <w:sz w:val="32"/>
          <w:szCs w:val="36"/>
          <w:lang w:val="en-US" w:eastAsia="zh-CN"/>
        </w:rPr>
        <w:t xml:space="preserve"> </w:t>
      </w:r>
      <w:r>
        <w:rPr>
          <w:rFonts w:hint="default" w:ascii="Times New Roman" w:hAnsi="Times New Roman" w:cs="Times New Roman"/>
          <w:b w:val="0"/>
          <w:i w:val="0"/>
          <w:sz w:val="22"/>
          <w:lang w:val="en-US" w:eastAsia="zh-CN"/>
        </w:rPr>
        <w:t xml:space="preserve">                    </w:t>
      </w:r>
      <w:r>
        <w:rPr>
          <w:rFonts w:hint="default" w:ascii="Times New Roman" w:hAnsi="Times New Roman" w:cs="Times New Roman"/>
          <w:b w:val="0"/>
          <w:i w:val="0"/>
          <w:szCs w:val="36"/>
          <w:lang w:val="en-US" w:eastAsia="zh-CN"/>
        </w:rPr>
        <w:t>（E.2）</w:t>
      </w:r>
    </w:p>
    <w:p w14:paraId="1F7F1789">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sz w:val="24"/>
        </w:rPr>
        <w:t>式中：</w:t>
      </w:r>
    </w:p>
    <w:p w14:paraId="63CBC95D">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C</w:t>
      </w:r>
      <w:r>
        <w:rPr>
          <w:rFonts w:hint="default" w:ascii="Times New Roman" w:hAnsi="Times New Roman" w:cs="Times New Roman"/>
          <w:sz w:val="24"/>
        </w:rPr>
        <w:t>—测得的试液中元素的浓度，单位为微克每毫升</w:t>
      </w:r>
      <w:r>
        <w:rPr>
          <w:rFonts w:hint="eastAsia" w:cs="Times New Roman"/>
          <w:sz w:val="24"/>
          <w:lang w:eastAsia="zh-CN"/>
        </w:rPr>
        <w:t>（</w:t>
      </w:r>
      <w:r>
        <w:rPr>
          <w:rFonts w:hint="default" w:ascii="Times New Roman" w:hAnsi="Times New Roman" w:cs="Times New Roman"/>
          <w:sz w:val="24"/>
        </w:rPr>
        <w:t>μg/mL</w:t>
      </w:r>
      <w:r>
        <w:rPr>
          <w:rFonts w:hint="eastAsia" w:cs="Times New Roman"/>
          <w:sz w:val="24"/>
          <w:lang w:eastAsia="zh-CN"/>
        </w:rPr>
        <w:t>）</w:t>
      </w:r>
      <w:r>
        <w:rPr>
          <w:rFonts w:hint="default" w:ascii="Times New Roman" w:hAnsi="Times New Roman" w:cs="Times New Roman"/>
          <w:sz w:val="24"/>
        </w:rPr>
        <w:t>；</w:t>
      </w:r>
    </w:p>
    <w:p w14:paraId="4416FD2A">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f</w:t>
      </w:r>
      <w:r>
        <w:rPr>
          <w:rFonts w:hint="default" w:ascii="Times New Roman" w:hAnsi="Times New Roman" w:cs="Times New Roman"/>
          <w:sz w:val="24"/>
        </w:rPr>
        <w:t>—稀释倍数；</w:t>
      </w:r>
    </w:p>
    <w:p w14:paraId="4FC1CC42">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V</w:t>
      </w:r>
      <w:r>
        <w:rPr>
          <w:rFonts w:hint="default" w:ascii="Times New Roman" w:hAnsi="Times New Roman" w:cs="Times New Roman"/>
          <w:sz w:val="24"/>
        </w:rPr>
        <w:t>—溶液总体积，单位为毫升（mL）；</w:t>
      </w:r>
    </w:p>
    <w:p w14:paraId="37B868EF">
      <w:pPr>
        <w:spacing w:line="360" w:lineRule="auto"/>
        <w:ind w:firstLine="480" w:firstLineChars="200"/>
        <w:jc w:val="left"/>
        <w:rPr>
          <w:rFonts w:hint="default" w:ascii="Times New Roman" w:hAnsi="Times New Roman" w:cs="Times New Roman"/>
          <w:sz w:val="24"/>
        </w:rPr>
      </w:pPr>
      <w:r>
        <w:rPr>
          <w:rFonts w:hint="default" w:ascii="Times New Roman" w:hAnsi="Times New Roman" w:cs="Times New Roman"/>
          <w:i/>
          <w:iCs/>
          <w:sz w:val="24"/>
        </w:rPr>
        <w:t>m</w:t>
      </w:r>
      <w:r>
        <w:rPr>
          <w:rFonts w:hint="default" w:ascii="Times New Roman" w:hAnsi="Times New Roman" w:cs="Times New Roman"/>
          <w:i/>
          <w:iCs/>
          <w:sz w:val="24"/>
          <w:vertAlign w:val="subscript"/>
        </w:rPr>
        <w:t>0</w:t>
      </w:r>
      <w:r>
        <w:rPr>
          <w:rFonts w:hint="default" w:ascii="Times New Roman" w:hAnsi="Times New Roman" w:cs="Times New Roman"/>
          <w:sz w:val="24"/>
        </w:rPr>
        <w:t>—称取的试样量，单位为克（g）。</w:t>
      </w:r>
    </w:p>
    <w:p w14:paraId="6F84F290">
      <w:pPr>
        <w:spacing w:line="360" w:lineRule="auto"/>
        <w:ind w:firstLine="960" w:firstLineChars="400"/>
        <w:jc w:val="left"/>
        <w:rPr>
          <w:rFonts w:hint="default" w:ascii="Times New Roman" w:hAnsi="Times New Roman" w:cs="Times New Roman"/>
          <w:sz w:val="24"/>
        </w:rPr>
      </w:pPr>
    </w:p>
    <w:p w14:paraId="2196B48B">
      <w:pPr>
        <w:spacing w:line="360" w:lineRule="auto"/>
        <w:ind w:firstLine="960" w:firstLineChars="400"/>
        <w:jc w:val="left"/>
        <w:rPr>
          <w:rFonts w:hint="default" w:ascii="Times New Roman" w:hAnsi="Times New Roman" w:cs="Times New Roman"/>
          <w:sz w:val="24"/>
        </w:rPr>
      </w:pPr>
    </w:p>
    <w:p w14:paraId="2B08D6BB">
      <w:pPr>
        <w:spacing w:line="360" w:lineRule="auto"/>
        <w:ind w:firstLine="960" w:firstLineChars="400"/>
        <w:jc w:val="left"/>
        <w:rPr>
          <w:rFonts w:hint="default" w:ascii="Times New Roman" w:hAnsi="Times New Roman" w:cs="Times New Roman"/>
          <w:sz w:val="24"/>
        </w:rPr>
      </w:pPr>
    </w:p>
    <w:p w14:paraId="1564105B">
      <w:pPr>
        <w:spacing w:line="360" w:lineRule="auto"/>
        <w:ind w:firstLine="960" w:firstLineChars="400"/>
        <w:jc w:val="left"/>
        <w:rPr>
          <w:rFonts w:hint="default" w:ascii="Times New Roman" w:hAnsi="Times New Roman" w:cs="Times New Roman"/>
          <w:sz w:val="24"/>
        </w:rPr>
      </w:pPr>
    </w:p>
    <w:p w14:paraId="3337D967">
      <w:pPr>
        <w:pStyle w:val="90"/>
        <w:framePr w:hSpace="0" w:vSpace="0" w:wrap="auto" w:vAnchor="margin" w:hAnchor="text" w:xAlign="left" w:yAlign="inline"/>
        <w:jc w:val="center"/>
        <w:rPr>
          <w:rFonts w:hint="default" w:ascii="Times New Roman" w:hAnsi="Times New Roman" w:cs="Times New Roman"/>
        </w:rPr>
      </w:pPr>
      <w:r>
        <w:rPr>
          <w:rFonts w:hint="default" w:ascii="Times New Roman" w:hAnsi="Times New Roman" w:cs="Times New Roman"/>
        </w:rPr>
        <w:t>_________________________________</w:t>
      </w:r>
    </w:p>
    <w:p w14:paraId="0694C510">
      <w:pPr>
        <w:pStyle w:val="24"/>
        <w:ind w:firstLine="0" w:firstLineChars="0"/>
        <w:jc w:val="center"/>
        <w:rPr>
          <w:rFonts w:hint="default" w:ascii="Times New Roman" w:hAnsi="Times New Roman" w:cs="Times New Roman"/>
          <w:szCs w:val="21"/>
        </w:rPr>
      </w:pPr>
    </w:p>
    <w:p w14:paraId="07FF52DF">
      <w:pPr>
        <w:spacing w:line="360" w:lineRule="auto"/>
        <w:ind w:firstLine="960" w:firstLineChars="400"/>
        <w:jc w:val="left"/>
        <w:rPr>
          <w:rFonts w:hint="default" w:ascii="Times New Roman" w:hAnsi="Times New Roman" w:cs="Times New Roman"/>
          <w:sz w:val="24"/>
        </w:rPr>
      </w:pPr>
    </w:p>
    <w:p w14:paraId="5F9A50B2">
      <w:pPr>
        <w:spacing w:line="360" w:lineRule="auto"/>
        <w:ind w:firstLine="960" w:firstLineChars="400"/>
        <w:jc w:val="left"/>
        <w:rPr>
          <w:rFonts w:hint="default" w:ascii="Times New Roman" w:hAnsi="Times New Roman" w:cs="Times New Roman"/>
          <w:sz w:val="24"/>
        </w:rPr>
      </w:pPr>
    </w:p>
    <w:p w14:paraId="3C1AC080">
      <w:pPr>
        <w:spacing w:line="360" w:lineRule="auto"/>
        <w:ind w:firstLine="960" w:firstLineChars="400"/>
        <w:jc w:val="left"/>
        <w:rPr>
          <w:rFonts w:hint="default" w:ascii="Times New Roman" w:hAnsi="Times New Roman" w:cs="Times New Roman"/>
          <w:sz w:val="24"/>
        </w:rPr>
      </w:pPr>
    </w:p>
    <w:p w14:paraId="124378A9">
      <w:pPr>
        <w:spacing w:line="360" w:lineRule="auto"/>
        <w:ind w:firstLine="960" w:firstLineChars="400"/>
        <w:jc w:val="left"/>
        <w:rPr>
          <w:rFonts w:hint="default" w:ascii="Times New Roman" w:hAnsi="Times New Roman" w:cs="Times New Roman"/>
          <w:sz w:val="24"/>
        </w:rPr>
      </w:pPr>
    </w:p>
    <w:sectPr>
      <w:headerReference r:id="rId10" w:type="default"/>
      <w:footerReference r:id="rId11" w:type="default"/>
      <w:pgSz w:w="11911" w:h="16838"/>
      <w:pgMar w:top="1134" w:right="1417" w:bottom="1134" w:left="1417" w:header="1134" w:footer="850" w:gutter="0"/>
      <w:pgNumType w:fmt="decimal"/>
      <w:cols w:space="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98C40">
    <w:pPr>
      <w:pStyle w:val="18"/>
    </w:pPr>
    <w:r>
      <w:rPr>
        <w:sz w:val="18"/>
      </w:rPr>
      <mc:AlternateContent>
        <mc:Choice Requires="wps">
          <w:drawing>
            <wp:anchor distT="0" distB="0" distL="114300" distR="114300" simplePos="0" relativeHeight="251663360" behindDoc="0" locked="0" layoutInCell="1" allowOverlap="1">
              <wp:simplePos x="0" y="0"/>
              <wp:positionH relativeFrom="margin">
                <wp:posOffset>5567045</wp:posOffset>
              </wp:positionH>
              <wp:positionV relativeFrom="paragraph">
                <wp:posOffset>-350520</wp:posOffset>
              </wp:positionV>
              <wp:extent cx="196850" cy="48831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96850" cy="4883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03EEB3">
                          <w:pPr>
                            <w:pStyle w:val="18"/>
                          </w:pPr>
                          <w:r>
                            <w:rPr>
                              <w:rFonts w:hint="eastAsia"/>
                              <w:lang w:eastAsia="zh-CN"/>
                            </w:rPr>
                            <w:t>Ⅰ</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38.35pt;margin-top:-27.6pt;height:38.45pt;width:15.5pt;mso-position-horizontal-relative:margin;z-index:251663360;mso-width-relative:page;mso-height-relative:page;" filled="f" stroked="f" coordsize="21600,21600" o:gfxdata="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J+0pdkAAAAKAQAADwAAAAAAAAABACAAAAAiAAAAZHJzL2Rvd25y&#10;ZXYueG1sUEsBAhQAFAAAAAgAh07iQDt2PJU2AgAAYwQAAA4AAAAAAAAAAQAgAAAAKAEAAGRycy9l&#10;Mm9Eb2MueG1sUEsFBgAAAAAGAAYAWQEAANAFAAAAAA==&#10;">
              <v:fill on="f" focussize="0,0"/>
              <v:stroke on="f" weight="0.5pt"/>
              <v:imagedata o:title=""/>
              <o:lock v:ext="edit" aspectratio="f"/>
              <v:textbox inset="0mm,0mm,0mm,0mm">
                <w:txbxContent>
                  <w:p w14:paraId="3603EEB3">
                    <w:pPr>
                      <w:pStyle w:val="18"/>
                    </w:pPr>
                    <w:r>
                      <w:rPr>
                        <w:rFonts w:hint="eastAsia"/>
                        <w:lang w:eastAsia="zh-CN"/>
                      </w:rPr>
                      <w:t>Ⅰ</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F441D">
    <w:pPr>
      <w:pStyle w:val="124"/>
    </w:pPr>
    <w:r>
      <w:rPr>
        <w:sz w:val="18"/>
      </w:rPr>
      <mc:AlternateContent>
        <mc:Choice Requires="wps">
          <w:drawing>
            <wp:anchor distT="0" distB="0" distL="114300" distR="114300" simplePos="0" relativeHeight="251668480" behindDoc="0" locked="0" layoutInCell="1" allowOverlap="1">
              <wp:simplePos x="0" y="0"/>
              <wp:positionH relativeFrom="margin">
                <wp:posOffset>5567045</wp:posOffset>
              </wp:positionH>
              <wp:positionV relativeFrom="paragraph">
                <wp:posOffset>-264795</wp:posOffset>
              </wp:positionV>
              <wp:extent cx="196850" cy="48831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96850" cy="4883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B35D4E">
                          <w:pPr>
                            <w:pStyle w:val="18"/>
                          </w:pPr>
                          <w:r>
                            <w:rPr>
                              <w:rFonts w:hint="eastAsia"/>
                              <w:lang w:eastAsia="zh-CN"/>
                            </w:rPr>
                            <w:t>Ⅱ</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38.35pt;margin-top:-20.85pt;height:38.45pt;width:15.5pt;mso-position-horizontal-relative:margin;z-index:251668480;mso-width-relative:page;mso-height-relative:page;" filled="f" stroked="f" coordsize="21600,21600" o:gfxdata="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Al3yBNkAAAAKAQAADwAAAAAAAAABACAAAAAiAAAAZHJzL2Rvd25y&#10;ZXYueG1sUEsBAhQAFAAAAAgAh07iQP4gYpE2AgAAYwQAAA4AAAAAAAAAAQAgAAAAKAEAAGRycy9l&#10;Mm9Eb2MueG1sUEsFBgAAAAAGAAYAWQEAANAFAAAAAA==&#10;">
              <v:fill on="f" focussize="0,0"/>
              <v:stroke on="f" weight="0.5pt"/>
              <v:imagedata o:title=""/>
              <o:lock v:ext="edit" aspectratio="f"/>
              <v:textbox inset="0mm,0mm,0mm,0mm">
                <w:txbxContent>
                  <w:p w14:paraId="3DB35D4E">
                    <w:pPr>
                      <w:pStyle w:val="18"/>
                    </w:pPr>
                    <w:r>
                      <w:rPr>
                        <w:rFonts w:hint="eastAsia"/>
                        <w:lang w:eastAsia="zh-CN"/>
                      </w:rPr>
                      <w:t>Ⅱ</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5D0B5">
    <w:pPr>
      <w:pStyle w:val="9"/>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BFC52F">
                          <w:pPr>
                            <w:pStyle w:val="18"/>
                          </w:pPr>
                        </w:p>
                        <w:p w14:paraId="0702518C">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0BFC52F">
                    <w:pPr>
                      <w:pStyle w:val="18"/>
                    </w:pPr>
                  </w:p>
                  <w:p w14:paraId="0702518C">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A513C">
    <w:pPr>
      <w:pStyle w:val="9"/>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1DA03">
                          <w:pPr>
                            <w:pStyle w:val="1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4D1DA03">
                    <w:pPr>
                      <w:pStyle w:val="1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77773">
    <w:pPr>
      <w:pStyle w:val="9"/>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6FBEA">
                          <w:pPr>
                            <w:pStyle w:val="18"/>
                            <w:rPr>
                              <w:rFonts w:ascii="宋体" w:hAnsi="宋体" w:cs="宋体"/>
                            </w:rP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3C6FBEA">
                    <w:pPr>
                      <w:pStyle w:val="18"/>
                      <w:rPr>
                        <w:rFonts w:ascii="宋体" w:hAnsi="宋体" w:cs="宋体"/>
                      </w:rPr>
                    </w:pPr>
                    <w:r>
                      <w:fldChar w:fldCharType="begin"/>
                    </w:r>
                    <w:r>
                      <w:instrText xml:space="preserve"> PAGE  \* MERGEFORMAT </w:instrText>
                    </w:r>
                    <w:r>
                      <w:fldChar w:fldCharType="separate"/>
                    </w:r>
                    <w:r>
                      <w:t>17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ECED7">
    <w:pPr>
      <w:pStyle w:val="19"/>
      <w:spacing w:before="120" w:after="1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E96DA">
    <w:pPr>
      <w:pStyle w:val="19"/>
      <w:spacing w:before="120" w:after="120"/>
      <w:jc w:val="right"/>
    </w:pPr>
    <w:r>
      <w:rPr>
        <w:rFonts w:eastAsia="黑体"/>
        <w:bCs/>
        <w:sz w:val="21"/>
        <w:szCs w:val="21"/>
      </w:rPr>
      <w:t>T/MMAC</w:t>
    </w:r>
    <w:r>
      <w:rPr>
        <w:bCs/>
        <w:sz w:val="21"/>
        <w:szCs w:val="21"/>
      </w:rPr>
      <w:t xml:space="preserve"> XXX</w:t>
    </w:r>
    <w:r>
      <w:rPr>
        <w:rFonts w:eastAsia="黑体"/>
        <w:bCs/>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2817E">
    <w:pPr>
      <w:pStyle w:val="9"/>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D57B8">
    <w:pPr>
      <w:pStyle w:val="9"/>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0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6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3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9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9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41"/>
      <w:suff w:val="space"/>
      <w:lvlText w:val="%1"/>
      <w:lvlJc w:val="left"/>
      <w:pPr>
        <w:ind w:left="623" w:hanging="425"/>
      </w:pPr>
      <w:rPr>
        <w:rFonts w:hint="eastAsia"/>
      </w:rPr>
    </w:lvl>
    <w:lvl w:ilvl="1" w:tentative="0">
      <w:start w:val="1"/>
      <w:numFmt w:val="decimal"/>
      <w:pStyle w:val="13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11"/>
      <w:suff w:val="nothing"/>
      <w:lvlText w:val="%1——"/>
      <w:lvlJc w:val="left"/>
      <w:pPr>
        <w:ind w:left="833" w:hanging="408"/>
      </w:pPr>
      <w:rPr>
        <w:rFonts w:hint="eastAsia"/>
      </w:rPr>
    </w:lvl>
    <w:lvl w:ilvl="1" w:tentative="0">
      <w:start w:val="1"/>
      <w:numFmt w:val="bullet"/>
      <w:pStyle w:val="133"/>
      <w:lvlText w:val=""/>
      <w:lvlJc w:val="left"/>
      <w:pPr>
        <w:tabs>
          <w:tab w:val="left" w:pos="760"/>
        </w:tabs>
        <w:ind w:left="1264" w:hanging="413"/>
      </w:pPr>
      <w:rPr>
        <w:rFonts w:hint="default" w:ascii="Symbol" w:hAnsi="Symbol"/>
        <w:color w:val="auto"/>
      </w:rPr>
    </w:lvl>
    <w:lvl w:ilvl="2" w:tentative="0">
      <w:start w:val="1"/>
      <w:numFmt w:val="bullet"/>
      <w:pStyle w:val="10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39"/>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9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53"/>
      <w:lvlText w:val="%1"/>
      <w:lvlJc w:val="left"/>
      <w:pPr>
        <w:tabs>
          <w:tab w:val="left" w:pos="0"/>
        </w:tabs>
        <w:ind w:left="0" w:hanging="425"/>
      </w:pPr>
      <w:rPr>
        <w:rFonts w:hint="eastAsia"/>
      </w:rPr>
    </w:lvl>
    <w:lvl w:ilvl="1" w:tentative="0">
      <w:start w:val="1"/>
      <w:numFmt w:val="decimal"/>
      <w:pStyle w:val="13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1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2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8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4"/>
      <w:suff w:val="nothing"/>
      <w:lvlText w:val="%1.%2.%3　"/>
      <w:lvlJc w:val="left"/>
      <w:pPr>
        <w:ind w:left="0" w:firstLine="0"/>
      </w:pPr>
      <w:rPr>
        <w:rFonts w:hint="eastAsia" w:ascii="黑体" w:hAnsi="Times New Roman" w:eastAsia="黑体"/>
        <w:b w:val="0"/>
        <w:i w:val="0"/>
        <w:sz w:val="21"/>
      </w:rPr>
    </w:lvl>
    <w:lvl w:ilvl="3" w:tentative="0">
      <w:start w:val="1"/>
      <w:numFmt w:val="decimal"/>
      <w:pStyle w:val="79"/>
      <w:suff w:val="nothing"/>
      <w:lvlText w:val="%1.%2.%3.%4　"/>
      <w:lvlJc w:val="left"/>
      <w:pPr>
        <w:ind w:left="0" w:firstLine="0"/>
      </w:pPr>
      <w:rPr>
        <w:rFonts w:hint="eastAsia" w:ascii="黑体" w:hAnsi="Times New Roman" w:eastAsia="黑体"/>
        <w:b w:val="0"/>
        <w:i w:val="0"/>
        <w:sz w:val="21"/>
      </w:rPr>
    </w:lvl>
    <w:lvl w:ilvl="4" w:tentative="0">
      <w:start w:val="1"/>
      <w:numFmt w:val="decimal"/>
      <w:pStyle w:val="78"/>
      <w:suff w:val="nothing"/>
      <w:lvlText w:val="%1.%2.%3.%4.%5　"/>
      <w:lvlJc w:val="left"/>
      <w:pPr>
        <w:ind w:left="0" w:firstLine="0"/>
      </w:pPr>
      <w:rPr>
        <w:rFonts w:hint="eastAsia" w:ascii="黑体" w:hAnsi="Times New Roman" w:eastAsia="黑体"/>
        <w:b w:val="0"/>
        <w:i w:val="0"/>
        <w:sz w:val="21"/>
      </w:rPr>
    </w:lvl>
    <w:lvl w:ilvl="5" w:tentative="0">
      <w:start w:val="1"/>
      <w:numFmt w:val="decimal"/>
      <w:pStyle w:val="88"/>
      <w:suff w:val="nothing"/>
      <w:lvlText w:val="%1.%2.%3.%4.%5.%6　"/>
      <w:lvlJc w:val="left"/>
      <w:pPr>
        <w:ind w:left="0" w:firstLine="0"/>
      </w:pPr>
      <w:rPr>
        <w:rFonts w:hint="eastAsia" w:ascii="黑体" w:hAnsi="Times New Roman" w:eastAsia="黑体"/>
        <w:b w:val="0"/>
        <w:i w:val="0"/>
        <w:sz w:val="21"/>
      </w:rPr>
    </w:lvl>
    <w:lvl w:ilvl="6" w:tentative="0">
      <w:start w:val="1"/>
      <w:numFmt w:val="decimal"/>
      <w:pStyle w:val="8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43"/>
      <w:lvlText w:val="%1)"/>
      <w:lvlJc w:val="left"/>
      <w:pPr>
        <w:tabs>
          <w:tab w:val="left" w:pos="839"/>
        </w:tabs>
        <w:ind w:left="839" w:hanging="419"/>
      </w:pPr>
      <w:rPr>
        <w:rFonts w:hint="eastAsia" w:ascii="宋体" w:eastAsia="宋体"/>
        <w:b w:val="0"/>
        <w:i w:val="0"/>
        <w:sz w:val="21"/>
      </w:rPr>
    </w:lvl>
    <w:lvl w:ilvl="1" w:tentative="0">
      <w:start w:val="1"/>
      <w:numFmt w:val="decimal"/>
      <w:pStyle w:val="6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9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76933334"/>
    <w:multiLevelType w:val="multilevel"/>
    <w:tmpl w:val="76933334"/>
    <w:lvl w:ilvl="0" w:tentative="0">
      <w:start w:val="1"/>
      <w:numFmt w:val="none"/>
      <w:pStyle w:val="128"/>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1"/>
  </w:num>
  <w:num w:numId="3">
    <w:abstractNumId w:val="13"/>
  </w:num>
  <w:num w:numId="4">
    <w:abstractNumId w:val="11"/>
  </w:num>
  <w:num w:numId="5">
    <w:abstractNumId w:val="6"/>
  </w:num>
  <w:num w:numId="6">
    <w:abstractNumId w:val="3"/>
  </w:num>
  <w:num w:numId="7">
    <w:abstractNumId w:val="16"/>
  </w:num>
  <w:num w:numId="8">
    <w:abstractNumId w:val="0"/>
  </w:num>
  <w:num w:numId="9">
    <w:abstractNumId w:val="15"/>
  </w:num>
  <w:num w:numId="10">
    <w:abstractNumId w:val="7"/>
  </w:num>
  <w:num w:numId="11">
    <w:abstractNumId w:val="17"/>
  </w:num>
  <w:num w:numId="12">
    <w:abstractNumId w:val="12"/>
  </w:num>
  <w:num w:numId="13">
    <w:abstractNumId w:val="2"/>
  </w:num>
  <w:num w:numId="14">
    <w:abstractNumId w:val="9"/>
  </w:num>
  <w:num w:numId="15">
    <w:abstractNumId w:val="14"/>
  </w:num>
  <w:num w:numId="16">
    <w:abstractNumId w:val="4"/>
  </w:num>
  <w:num w:numId="17">
    <w:abstractNumId w:val="18"/>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13D86"/>
    <w:rsid w:val="00013E02"/>
    <w:rsid w:val="0002143C"/>
    <w:rsid w:val="00025A65"/>
    <w:rsid w:val="00026C31"/>
    <w:rsid w:val="00026F9C"/>
    <w:rsid w:val="00027280"/>
    <w:rsid w:val="000320A7"/>
    <w:rsid w:val="00035925"/>
    <w:rsid w:val="00056262"/>
    <w:rsid w:val="00067CDF"/>
    <w:rsid w:val="00073F76"/>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F030C"/>
    <w:rsid w:val="000F129C"/>
    <w:rsid w:val="000F6FFF"/>
    <w:rsid w:val="001056DE"/>
    <w:rsid w:val="001124C0"/>
    <w:rsid w:val="00113595"/>
    <w:rsid w:val="0013175F"/>
    <w:rsid w:val="0014381B"/>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56EB"/>
    <w:rsid w:val="001B6DC2"/>
    <w:rsid w:val="001C149C"/>
    <w:rsid w:val="001C21AC"/>
    <w:rsid w:val="001C47BA"/>
    <w:rsid w:val="001C59EA"/>
    <w:rsid w:val="001D406C"/>
    <w:rsid w:val="001D41EE"/>
    <w:rsid w:val="001E0380"/>
    <w:rsid w:val="001E13B1"/>
    <w:rsid w:val="001E5000"/>
    <w:rsid w:val="001F3A19"/>
    <w:rsid w:val="001F3FB9"/>
    <w:rsid w:val="00234467"/>
    <w:rsid w:val="00237D8D"/>
    <w:rsid w:val="00241DA2"/>
    <w:rsid w:val="00247FEE"/>
    <w:rsid w:val="00250E7D"/>
    <w:rsid w:val="002565D5"/>
    <w:rsid w:val="002622C0"/>
    <w:rsid w:val="00267ECB"/>
    <w:rsid w:val="002778AE"/>
    <w:rsid w:val="0028269A"/>
    <w:rsid w:val="00283590"/>
    <w:rsid w:val="00286973"/>
    <w:rsid w:val="00294E70"/>
    <w:rsid w:val="002A1924"/>
    <w:rsid w:val="002A7420"/>
    <w:rsid w:val="002B0F12"/>
    <w:rsid w:val="002B1308"/>
    <w:rsid w:val="002B4554"/>
    <w:rsid w:val="002C0D9C"/>
    <w:rsid w:val="002C72D8"/>
    <w:rsid w:val="002D11FA"/>
    <w:rsid w:val="002E0DDF"/>
    <w:rsid w:val="002E2906"/>
    <w:rsid w:val="002E363B"/>
    <w:rsid w:val="002E5635"/>
    <w:rsid w:val="002E64C3"/>
    <w:rsid w:val="002E6A2C"/>
    <w:rsid w:val="002F1D8C"/>
    <w:rsid w:val="002F21DA"/>
    <w:rsid w:val="00301F39"/>
    <w:rsid w:val="00325926"/>
    <w:rsid w:val="00327A8A"/>
    <w:rsid w:val="00336610"/>
    <w:rsid w:val="00343F73"/>
    <w:rsid w:val="00345060"/>
    <w:rsid w:val="00346828"/>
    <w:rsid w:val="0035323B"/>
    <w:rsid w:val="003609D2"/>
    <w:rsid w:val="00363F22"/>
    <w:rsid w:val="00370BBA"/>
    <w:rsid w:val="00375564"/>
    <w:rsid w:val="00380B6F"/>
    <w:rsid w:val="00383191"/>
    <w:rsid w:val="00386DED"/>
    <w:rsid w:val="003912E7"/>
    <w:rsid w:val="00393947"/>
    <w:rsid w:val="003A2275"/>
    <w:rsid w:val="003A6A4F"/>
    <w:rsid w:val="003A7088"/>
    <w:rsid w:val="003B00DF"/>
    <w:rsid w:val="003B1275"/>
    <w:rsid w:val="003B1778"/>
    <w:rsid w:val="003C11CB"/>
    <w:rsid w:val="003C75F3"/>
    <w:rsid w:val="003C78A3"/>
    <w:rsid w:val="003D3FFA"/>
    <w:rsid w:val="003E1867"/>
    <w:rsid w:val="003E5729"/>
    <w:rsid w:val="003F4EE0"/>
    <w:rsid w:val="003F7D30"/>
    <w:rsid w:val="00402153"/>
    <w:rsid w:val="00402FC1"/>
    <w:rsid w:val="00412267"/>
    <w:rsid w:val="00416F90"/>
    <w:rsid w:val="00425082"/>
    <w:rsid w:val="00431DEB"/>
    <w:rsid w:val="004458FF"/>
    <w:rsid w:val="00446B29"/>
    <w:rsid w:val="00453F9A"/>
    <w:rsid w:val="00471E91"/>
    <w:rsid w:val="00474675"/>
    <w:rsid w:val="0047470C"/>
    <w:rsid w:val="004A35F9"/>
    <w:rsid w:val="004B24C1"/>
    <w:rsid w:val="004C292F"/>
    <w:rsid w:val="004C6F6E"/>
    <w:rsid w:val="004D5330"/>
    <w:rsid w:val="004E1BD0"/>
    <w:rsid w:val="00510280"/>
    <w:rsid w:val="00513D73"/>
    <w:rsid w:val="00514A43"/>
    <w:rsid w:val="005174E5"/>
    <w:rsid w:val="00522393"/>
    <w:rsid w:val="00522620"/>
    <w:rsid w:val="00525656"/>
    <w:rsid w:val="00534C02"/>
    <w:rsid w:val="005424C1"/>
    <w:rsid w:val="0054264B"/>
    <w:rsid w:val="00543786"/>
    <w:rsid w:val="00543E75"/>
    <w:rsid w:val="005533D7"/>
    <w:rsid w:val="005703DE"/>
    <w:rsid w:val="00573921"/>
    <w:rsid w:val="00581FC5"/>
    <w:rsid w:val="0058464E"/>
    <w:rsid w:val="00593B48"/>
    <w:rsid w:val="00597BA4"/>
    <w:rsid w:val="005A01CB"/>
    <w:rsid w:val="005A58FF"/>
    <w:rsid w:val="005A5EAF"/>
    <w:rsid w:val="005A64C0"/>
    <w:rsid w:val="005B3C11"/>
    <w:rsid w:val="005C1C28"/>
    <w:rsid w:val="005C6DB5"/>
    <w:rsid w:val="005D6AD5"/>
    <w:rsid w:val="005E19E7"/>
    <w:rsid w:val="005E2A17"/>
    <w:rsid w:val="005F0D35"/>
    <w:rsid w:val="005F2EC1"/>
    <w:rsid w:val="0061716C"/>
    <w:rsid w:val="006243A1"/>
    <w:rsid w:val="00626147"/>
    <w:rsid w:val="00632E56"/>
    <w:rsid w:val="00635CBA"/>
    <w:rsid w:val="0064338B"/>
    <w:rsid w:val="00646542"/>
    <w:rsid w:val="006504F4"/>
    <w:rsid w:val="00654BC9"/>
    <w:rsid w:val="006552FD"/>
    <w:rsid w:val="00663AF3"/>
    <w:rsid w:val="00666B6C"/>
    <w:rsid w:val="00682682"/>
    <w:rsid w:val="00682702"/>
    <w:rsid w:val="00682CAE"/>
    <w:rsid w:val="00692368"/>
    <w:rsid w:val="006A2EBC"/>
    <w:rsid w:val="006A5EA0"/>
    <w:rsid w:val="006A71FC"/>
    <w:rsid w:val="006A783B"/>
    <w:rsid w:val="006A7B33"/>
    <w:rsid w:val="006B0F30"/>
    <w:rsid w:val="006B4E13"/>
    <w:rsid w:val="006B75DD"/>
    <w:rsid w:val="006C67E0"/>
    <w:rsid w:val="006C7ABA"/>
    <w:rsid w:val="006D0D60"/>
    <w:rsid w:val="006D1122"/>
    <w:rsid w:val="006D3C00"/>
    <w:rsid w:val="006D6CF4"/>
    <w:rsid w:val="006E3675"/>
    <w:rsid w:val="006E4A7F"/>
    <w:rsid w:val="00704DF6"/>
    <w:rsid w:val="0070651C"/>
    <w:rsid w:val="00711BA5"/>
    <w:rsid w:val="007132A3"/>
    <w:rsid w:val="00716421"/>
    <w:rsid w:val="00724EFB"/>
    <w:rsid w:val="00736D83"/>
    <w:rsid w:val="007419C3"/>
    <w:rsid w:val="00744F22"/>
    <w:rsid w:val="007467A7"/>
    <w:rsid w:val="007469DD"/>
    <w:rsid w:val="0074741B"/>
    <w:rsid w:val="0074759E"/>
    <w:rsid w:val="007478EA"/>
    <w:rsid w:val="0075415C"/>
    <w:rsid w:val="00763502"/>
    <w:rsid w:val="00785C76"/>
    <w:rsid w:val="007913AB"/>
    <w:rsid w:val="007914F7"/>
    <w:rsid w:val="0079729F"/>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26A3F"/>
    <w:rsid w:val="00835DB3"/>
    <w:rsid w:val="0083617B"/>
    <w:rsid w:val="008371BD"/>
    <w:rsid w:val="00841C10"/>
    <w:rsid w:val="00847A13"/>
    <w:rsid w:val="008504A8"/>
    <w:rsid w:val="008504A9"/>
    <w:rsid w:val="0085282E"/>
    <w:rsid w:val="0087198C"/>
    <w:rsid w:val="00872C1F"/>
    <w:rsid w:val="00873B42"/>
    <w:rsid w:val="008856D8"/>
    <w:rsid w:val="00892E82"/>
    <w:rsid w:val="008A0126"/>
    <w:rsid w:val="008C1B58"/>
    <w:rsid w:val="008C39AE"/>
    <w:rsid w:val="008C590D"/>
    <w:rsid w:val="008C6C60"/>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6D26"/>
    <w:rsid w:val="00997158"/>
    <w:rsid w:val="009A3A7C"/>
    <w:rsid w:val="009B2ADB"/>
    <w:rsid w:val="009B603A"/>
    <w:rsid w:val="009C2D0E"/>
    <w:rsid w:val="009C3DAC"/>
    <w:rsid w:val="009C42E0"/>
    <w:rsid w:val="009C62C6"/>
    <w:rsid w:val="009D5362"/>
    <w:rsid w:val="009E1415"/>
    <w:rsid w:val="009E6116"/>
    <w:rsid w:val="009F1552"/>
    <w:rsid w:val="009F4287"/>
    <w:rsid w:val="009F511C"/>
    <w:rsid w:val="00A01B2C"/>
    <w:rsid w:val="00A02E43"/>
    <w:rsid w:val="00A065F9"/>
    <w:rsid w:val="00A076A2"/>
    <w:rsid w:val="00A07F34"/>
    <w:rsid w:val="00A22154"/>
    <w:rsid w:val="00A233C6"/>
    <w:rsid w:val="00A25C38"/>
    <w:rsid w:val="00A27E87"/>
    <w:rsid w:val="00A30C09"/>
    <w:rsid w:val="00A3376A"/>
    <w:rsid w:val="00A36BBE"/>
    <w:rsid w:val="00A4307A"/>
    <w:rsid w:val="00A47EBB"/>
    <w:rsid w:val="00A51CDD"/>
    <w:rsid w:val="00A6730D"/>
    <w:rsid w:val="00A71625"/>
    <w:rsid w:val="00A71B9B"/>
    <w:rsid w:val="00A751C7"/>
    <w:rsid w:val="00A87844"/>
    <w:rsid w:val="00AA038C"/>
    <w:rsid w:val="00AA09A1"/>
    <w:rsid w:val="00AA56EA"/>
    <w:rsid w:val="00AA7A09"/>
    <w:rsid w:val="00AB1EB0"/>
    <w:rsid w:val="00AB3B50"/>
    <w:rsid w:val="00AC05B1"/>
    <w:rsid w:val="00AD356C"/>
    <w:rsid w:val="00AE2914"/>
    <w:rsid w:val="00AE6D15"/>
    <w:rsid w:val="00AF462E"/>
    <w:rsid w:val="00B02599"/>
    <w:rsid w:val="00B04182"/>
    <w:rsid w:val="00B07AE3"/>
    <w:rsid w:val="00B11430"/>
    <w:rsid w:val="00B251D8"/>
    <w:rsid w:val="00B31542"/>
    <w:rsid w:val="00B353EB"/>
    <w:rsid w:val="00B439C4"/>
    <w:rsid w:val="00B4535E"/>
    <w:rsid w:val="00B52A8C"/>
    <w:rsid w:val="00B636A8"/>
    <w:rsid w:val="00B665C6"/>
    <w:rsid w:val="00B805AF"/>
    <w:rsid w:val="00B869EC"/>
    <w:rsid w:val="00B91CA9"/>
    <w:rsid w:val="00B9397A"/>
    <w:rsid w:val="00B956F5"/>
    <w:rsid w:val="00B9633D"/>
    <w:rsid w:val="00BA0B75"/>
    <w:rsid w:val="00BA2EBE"/>
    <w:rsid w:val="00BB0F28"/>
    <w:rsid w:val="00BB38EB"/>
    <w:rsid w:val="00BB458A"/>
    <w:rsid w:val="00BD00D3"/>
    <w:rsid w:val="00BD1659"/>
    <w:rsid w:val="00BD3AA9"/>
    <w:rsid w:val="00BD4A18"/>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8691C"/>
    <w:rsid w:val="00CA168A"/>
    <w:rsid w:val="00CA357E"/>
    <w:rsid w:val="00CA44F9"/>
    <w:rsid w:val="00CA4A69"/>
    <w:rsid w:val="00CC3D5A"/>
    <w:rsid w:val="00CC3E0C"/>
    <w:rsid w:val="00CC58D3"/>
    <w:rsid w:val="00CC784D"/>
    <w:rsid w:val="00CD7930"/>
    <w:rsid w:val="00D0337B"/>
    <w:rsid w:val="00D079B2"/>
    <w:rsid w:val="00D114E9"/>
    <w:rsid w:val="00D429C6"/>
    <w:rsid w:val="00D44C7C"/>
    <w:rsid w:val="00D47748"/>
    <w:rsid w:val="00D54CC3"/>
    <w:rsid w:val="00D6041A"/>
    <w:rsid w:val="00D633EB"/>
    <w:rsid w:val="00D82FF7"/>
    <w:rsid w:val="00D847FE"/>
    <w:rsid w:val="00D964EA"/>
    <w:rsid w:val="00D966D0"/>
    <w:rsid w:val="00DA0C59"/>
    <w:rsid w:val="00DA3991"/>
    <w:rsid w:val="00DA4F79"/>
    <w:rsid w:val="00DB0990"/>
    <w:rsid w:val="00DB7E6C"/>
    <w:rsid w:val="00DD5A29"/>
    <w:rsid w:val="00DD5D9D"/>
    <w:rsid w:val="00DE35CB"/>
    <w:rsid w:val="00DF21E9"/>
    <w:rsid w:val="00E00F14"/>
    <w:rsid w:val="00E06386"/>
    <w:rsid w:val="00E24EB4"/>
    <w:rsid w:val="00E320ED"/>
    <w:rsid w:val="00E327A6"/>
    <w:rsid w:val="00E33AFB"/>
    <w:rsid w:val="00E34218"/>
    <w:rsid w:val="00E46282"/>
    <w:rsid w:val="00E5216E"/>
    <w:rsid w:val="00E82344"/>
    <w:rsid w:val="00E84C82"/>
    <w:rsid w:val="00E84D64"/>
    <w:rsid w:val="00E87408"/>
    <w:rsid w:val="00E914C4"/>
    <w:rsid w:val="00E934F5"/>
    <w:rsid w:val="00E95BF6"/>
    <w:rsid w:val="00E96961"/>
    <w:rsid w:val="00EA72EC"/>
    <w:rsid w:val="00EB11CB"/>
    <w:rsid w:val="00EB275A"/>
    <w:rsid w:val="00EB786A"/>
    <w:rsid w:val="00EC1578"/>
    <w:rsid w:val="00EC1C72"/>
    <w:rsid w:val="00EC3CC9"/>
    <w:rsid w:val="00EC680A"/>
    <w:rsid w:val="00EE2BED"/>
    <w:rsid w:val="00EE374B"/>
    <w:rsid w:val="00EF0687"/>
    <w:rsid w:val="00F11BB5"/>
    <w:rsid w:val="00F1417B"/>
    <w:rsid w:val="00F34B99"/>
    <w:rsid w:val="00F52DAB"/>
    <w:rsid w:val="00F543F0"/>
    <w:rsid w:val="00F62756"/>
    <w:rsid w:val="00F72119"/>
    <w:rsid w:val="00F81D29"/>
    <w:rsid w:val="00F91C4D"/>
    <w:rsid w:val="00F92FD9"/>
    <w:rsid w:val="00FA5DA1"/>
    <w:rsid w:val="00FA6684"/>
    <w:rsid w:val="00FA731E"/>
    <w:rsid w:val="00FB2B38"/>
    <w:rsid w:val="00FC6358"/>
    <w:rsid w:val="00FD01CF"/>
    <w:rsid w:val="00FD320D"/>
    <w:rsid w:val="00FD55D5"/>
    <w:rsid w:val="00FE23DE"/>
    <w:rsid w:val="010479BF"/>
    <w:rsid w:val="01A10387"/>
    <w:rsid w:val="025D4D8E"/>
    <w:rsid w:val="02A75318"/>
    <w:rsid w:val="02B32C00"/>
    <w:rsid w:val="02ED1C6E"/>
    <w:rsid w:val="03911FB6"/>
    <w:rsid w:val="03B0514B"/>
    <w:rsid w:val="04391C79"/>
    <w:rsid w:val="046C3066"/>
    <w:rsid w:val="04A53C32"/>
    <w:rsid w:val="04B21B98"/>
    <w:rsid w:val="04C953BA"/>
    <w:rsid w:val="05FF1A2A"/>
    <w:rsid w:val="06787E06"/>
    <w:rsid w:val="077F1302"/>
    <w:rsid w:val="07DD6B86"/>
    <w:rsid w:val="07E15B19"/>
    <w:rsid w:val="07F341CA"/>
    <w:rsid w:val="08B3027C"/>
    <w:rsid w:val="092F5E2D"/>
    <w:rsid w:val="0A195A3E"/>
    <w:rsid w:val="0AB458A4"/>
    <w:rsid w:val="0B2D2621"/>
    <w:rsid w:val="0B510D02"/>
    <w:rsid w:val="0B6251C3"/>
    <w:rsid w:val="0BDE2A9B"/>
    <w:rsid w:val="0CA074B7"/>
    <w:rsid w:val="0D1A7D19"/>
    <w:rsid w:val="0D26294C"/>
    <w:rsid w:val="0DC72150"/>
    <w:rsid w:val="0DCA4204"/>
    <w:rsid w:val="0E832749"/>
    <w:rsid w:val="0E9E11E9"/>
    <w:rsid w:val="0F5566A3"/>
    <w:rsid w:val="0F5F2145"/>
    <w:rsid w:val="0FB008AE"/>
    <w:rsid w:val="0FB80A4B"/>
    <w:rsid w:val="0FE97C61"/>
    <w:rsid w:val="10323FEC"/>
    <w:rsid w:val="108D2A4C"/>
    <w:rsid w:val="10D740C2"/>
    <w:rsid w:val="11430D26"/>
    <w:rsid w:val="11681CD4"/>
    <w:rsid w:val="11A1221F"/>
    <w:rsid w:val="11A72F1E"/>
    <w:rsid w:val="11D84431"/>
    <w:rsid w:val="11DF131B"/>
    <w:rsid w:val="121D3BF2"/>
    <w:rsid w:val="12B02CB8"/>
    <w:rsid w:val="14035A78"/>
    <w:rsid w:val="148750C9"/>
    <w:rsid w:val="14925585"/>
    <w:rsid w:val="14C80433"/>
    <w:rsid w:val="15BF1D60"/>
    <w:rsid w:val="16343DB8"/>
    <w:rsid w:val="16415A2B"/>
    <w:rsid w:val="16886669"/>
    <w:rsid w:val="16AB14F0"/>
    <w:rsid w:val="16F700D3"/>
    <w:rsid w:val="174F6F43"/>
    <w:rsid w:val="18AF2130"/>
    <w:rsid w:val="1A372389"/>
    <w:rsid w:val="1AA32E84"/>
    <w:rsid w:val="1C56667E"/>
    <w:rsid w:val="1CC12590"/>
    <w:rsid w:val="1CEC20EE"/>
    <w:rsid w:val="1DC820A4"/>
    <w:rsid w:val="20001C74"/>
    <w:rsid w:val="20401009"/>
    <w:rsid w:val="21617F9F"/>
    <w:rsid w:val="23175BD9"/>
    <w:rsid w:val="23AD2AE8"/>
    <w:rsid w:val="24A27F55"/>
    <w:rsid w:val="24B37BA4"/>
    <w:rsid w:val="24BD4CBB"/>
    <w:rsid w:val="25394BCF"/>
    <w:rsid w:val="264D6357"/>
    <w:rsid w:val="27065735"/>
    <w:rsid w:val="2727155A"/>
    <w:rsid w:val="274A347F"/>
    <w:rsid w:val="289C2F2E"/>
    <w:rsid w:val="28C334D0"/>
    <w:rsid w:val="29131E03"/>
    <w:rsid w:val="2A0C7DE8"/>
    <w:rsid w:val="2A9A6739"/>
    <w:rsid w:val="2D537A24"/>
    <w:rsid w:val="2E2B3979"/>
    <w:rsid w:val="2E3101D8"/>
    <w:rsid w:val="2EA77776"/>
    <w:rsid w:val="2F4B6E6C"/>
    <w:rsid w:val="2FC00A0F"/>
    <w:rsid w:val="30A85549"/>
    <w:rsid w:val="322A1E66"/>
    <w:rsid w:val="32B72726"/>
    <w:rsid w:val="33924853"/>
    <w:rsid w:val="33F33CB6"/>
    <w:rsid w:val="33FB36F6"/>
    <w:rsid w:val="34272982"/>
    <w:rsid w:val="35254394"/>
    <w:rsid w:val="355E78AD"/>
    <w:rsid w:val="35A65B28"/>
    <w:rsid w:val="35BE379A"/>
    <w:rsid w:val="363C1679"/>
    <w:rsid w:val="36B43ADB"/>
    <w:rsid w:val="37321E9F"/>
    <w:rsid w:val="37F46B7B"/>
    <w:rsid w:val="384B5E18"/>
    <w:rsid w:val="38625203"/>
    <w:rsid w:val="38A0262D"/>
    <w:rsid w:val="393961FA"/>
    <w:rsid w:val="3A370630"/>
    <w:rsid w:val="3A3851D6"/>
    <w:rsid w:val="3AB92E55"/>
    <w:rsid w:val="3AE27ADF"/>
    <w:rsid w:val="3BC006EE"/>
    <w:rsid w:val="3BDD7DCA"/>
    <w:rsid w:val="3C641266"/>
    <w:rsid w:val="3CA95653"/>
    <w:rsid w:val="3D6078B8"/>
    <w:rsid w:val="3DB86B4C"/>
    <w:rsid w:val="3E0A0447"/>
    <w:rsid w:val="3E466A7D"/>
    <w:rsid w:val="3E810EE1"/>
    <w:rsid w:val="3EC8730A"/>
    <w:rsid w:val="3F577E93"/>
    <w:rsid w:val="3F744EE9"/>
    <w:rsid w:val="3F76556C"/>
    <w:rsid w:val="400B5CDE"/>
    <w:rsid w:val="402E0599"/>
    <w:rsid w:val="402F168F"/>
    <w:rsid w:val="40724306"/>
    <w:rsid w:val="40D93256"/>
    <w:rsid w:val="41A86139"/>
    <w:rsid w:val="41CA3A5B"/>
    <w:rsid w:val="423B3A9C"/>
    <w:rsid w:val="42440BA3"/>
    <w:rsid w:val="433C7081"/>
    <w:rsid w:val="437D25BE"/>
    <w:rsid w:val="44120AE1"/>
    <w:rsid w:val="4495671A"/>
    <w:rsid w:val="44CE6CFE"/>
    <w:rsid w:val="44DE167D"/>
    <w:rsid w:val="45E4285F"/>
    <w:rsid w:val="46380A1F"/>
    <w:rsid w:val="46996AE4"/>
    <w:rsid w:val="475235EC"/>
    <w:rsid w:val="47821C62"/>
    <w:rsid w:val="47ED681E"/>
    <w:rsid w:val="487764AD"/>
    <w:rsid w:val="48856571"/>
    <w:rsid w:val="48F84DFE"/>
    <w:rsid w:val="491D0608"/>
    <w:rsid w:val="4B58026B"/>
    <w:rsid w:val="4BA31D3B"/>
    <w:rsid w:val="4BCF2262"/>
    <w:rsid w:val="4C035639"/>
    <w:rsid w:val="4C2D08FA"/>
    <w:rsid w:val="4C4F31D3"/>
    <w:rsid w:val="4FC85E6F"/>
    <w:rsid w:val="505E1082"/>
    <w:rsid w:val="511300BE"/>
    <w:rsid w:val="515F3409"/>
    <w:rsid w:val="518F1C80"/>
    <w:rsid w:val="52244502"/>
    <w:rsid w:val="52746371"/>
    <w:rsid w:val="548D2329"/>
    <w:rsid w:val="54AC5987"/>
    <w:rsid w:val="54BF40B9"/>
    <w:rsid w:val="54FA54A0"/>
    <w:rsid w:val="55CD5551"/>
    <w:rsid w:val="55E0606F"/>
    <w:rsid w:val="55F91EB3"/>
    <w:rsid w:val="5674515B"/>
    <w:rsid w:val="56B440F1"/>
    <w:rsid w:val="5704396F"/>
    <w:rsid w:val="57D4431F"/>
    <w:rsid w:val="588D3DD6"/>
    <w:rsid w:val="58E4583C"/>
    <w:rsid w:val="59B72A67"/>
    <w:rsid w:val="59BE5287"/>
    <w:rsid w:val="5A4B6059"/>
    <w:rsid w:val="5B094EE9"/>
    <w:rsid w:val="5B0B0058"/>
    <w:rsid w:val="5BEF4851"/>
    <w:rsid w:val="5C1A29EB"/>
    <w:rsid w:val="5CC64191"/>
    <w:rsid w:val="5D34336C"/>
    <w:rsid w:val="5E6837F3"/>
    <w:rsid w:val="5F8F27FA"/>
    <w:rsid w:val="5F9709A0"/>
    <w:rsid w:val="5F9A36F1"/>
    <w:rsid w:val="5FA16FA6"/>
    <w:rsid w:val="5FD11DA5"/>
    <w:rsid w:val="603F7D63"/>
    <w:rsid w:val="61450370"/>
    <w:rsid w:val="621B19E1"/>
    <w:rsid w:val="626530D4"/>
    <w:rsid w:val="63097573"/>
    <w:rsid w:val="639C2195"/>
    <w:rsid w:val="644F4F48"/>
    <w:rsid w:val="64A930E4"/>
    <w:rsid w:val="64DE2339"/>
    <w:rsid w:val="652A54B0"/>
    <w:rsid w:val="66000271"/>
    <w:rsid w:val="665C5382"/>
    <w:rsid w:val="669B1F81"/>
    <w:rsid w:val="670E7B0C"/>
    <w:rsid w:val="67765EF6"/>
    <w:rsid w:val="679B09B6"/>
    <w:rsid w:val="69632CF0"/>
    <w:rsid w:val="69824648"/>
    <w:rsid w:val="69885BA6"/>
    <w:rsid w:val="69A11EFC"/>
    <w:rsid w:val="6A0E43F5"/>
    <w:rsid w:val="6ACD70D8"/>
    <w:rsid w:val="6AF1306D"/>
    <w:rsid w:val="6AFD3164"/>
    <w:rsid w:val="6B427AC6"/>
    <w:rsid w:val="6BAC54A0"/>
    <w:rsid w:val="6BFB747F"/>
    <w:rsid w:val="6C4433CA"/>
    <w:rsid w:val="6CBC1F51"/>
    <w:rsid w:val="6D160971"/>
    <w:rsid w:val="6D2A1A29"/>
    <w:rsid w:val="6DA61E3F"/>
    <w:rsid w:val="6DE27AFD"/>
    <w:rsid w:val="6E1F40EF"/>
    <w:rsid w:val="6E2240C4"/>
    <w:rsid w:val="6E5437AF"/>
    <w:rsid w:val="6E61336E"/>
    <w:rsid w:val="6E7843BC"/>
    <w:rsid w:val="6EAF0DFA"/>
    <w:rsid w:val="6F9E1043"/>
    <w:rsid w:val="6FA0300D"/>
    <w:rsid w:val="70CE16B3"/>
    <w:rsid w:val="70FA7D18"/>
    <w:rsid w:val="71881FAB"/>
    <w:rsid w:val="719552FF"/>
    <w:rsid w:val="71B247A4"/>
    <w:rsid w:val="72756AA6"/>
    <w:rsid w:val="727A1E0D"/>
    <w:rsid w:val="74125E4D"/>
    <w:rsid w:val="760338C7"/>
    <w:rsid w:val="76587E84"/>
    <w:rsid w:val="774353DC"/>
    <w:rsid w:val="77FE49E5"/>
    <w:rsid w:val="787A3BA2"/>
    <w:rsid w:val="787D0E45"/>
    <w:rsid w:val="793B7488"/>
    <w:rsid w:val="797F5A41"/>
    <w:rsid w:val="79C67077"/>
    <w:rsid w:val="79D32441"/>
    <w:rsid w:val="7A28432B"/>
    <w:rsid w:val="7A42616F"/>
    <w:rsid w:val="7A613192"/>
    <w:rsid w:val="7AC35F06"/>
    <w:rsid w:val="7B730B93"/>
    <w:rsid w:val="7CCE4716"/>
    <w:rsid w:val="7DD547CA"/>
    <w:rsid w:val="7E2C3CBE"/>
    <w:rsid w:val="7E675265"/>
    <w:rsid w:val="7EA71BC7"/>
    <w:rsid w:val="7EBA3DF3"/>
    <w:rsid w:val="7EC6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Body Text"/>
    <w:basedOn w:val="1"/>
    <w:qFormat/>
    <w:uiPriority w:val="1"/>
    <w:rPr>
      <w:rFonts w:ascii="宋体" w:hAnsi="宋体" w:cs="宋体"/>
      <w:szCs w:val="21"/>
    </w:rPr>
  </w:style>
  <w:style w:type="paragraph" w:styleId="10">
    <w:name w:val="Body Text Indent"/>
    <w:basedOn w:val="1"/>
    <w:next w:val="6"/>
    <w:qFormat/>
    <w:uiPriority w:val="0"/>
    <w:pPr>
      <w:spacing w:after="120"/>
      <w:ind w:left="420" w:leftChars="200"/>
    </w:p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4"/>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link w:val="45"/>
    <w:qFormat/>
    <w:uiPriority w:val="0"/>
    <w:pPr>
      <w:snapToGrid w:val="0"/>
      <w:jc w:val="left"/>
    </w:pPr>
    <w:rPr>
      <w:sz w:val="18"/>
      <w:szCs w:val="18"/>
    </w:rPr>
  </w:style>
  <w:style w:type="paragraph" w:styleId="20">
    <w:name w:val="toc 1"/>
    <w:basedOn w:val="1"/>
    <w:next w:val="1"/>
    <w:qFormat/>
    <w:uiPriority w:val="39"/>
    <w:pPr>
      <w:tabs>
        <w:tab w:val="right" w:leader="dot" w:pos="9241"/>
      </w:tabs>
      <w:spacing w:before="65441" w:beforeLines="25" w:after="65441" w:afterLines="25" w:line="360" w:lineRule="auto"/>
      <w:jc w:val="left"/>
    </w:pPr>
    <w:rPr>
      <w:rFonts w:ascii="宋体" w:hAnsi="宋体"/>
      <w:sz w:val="24"/>
      <w:szCs w:val="21"/>
    </w:rPr>
  </w:style>
  <w:style w:type="paragraph" w:styleId="21">
    <w:name w:val="toc 4"/>
    <w:basedOn w:val="1"/>
    <w:next w:val="1"/>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1"/>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Title"/>
    <w:basedOn w:val="1"/>
    <w:qFormat/>
    <w:uiPriority w:val="0"/>
    <w:pPr>
      <w:spacing w:before="240" w:after="60"/>
      <w:jc w:val="center"/>
      <w:outlineLvl w:val="0"/>
    </w:pPr>
    <w:rPr>
      <w:rFonts w:ascii="Arial" w:hAnsi="Arial"/>
      <w:b/>
      <w:sz w:val="32"/>
    </w:rPr>
  </w:style>
  <w:style w:type="paragraph" w:styleId="33">
    <w:name w:val="Body Text First Indent 2"/>
    <w:basedOn w:val="10"/>
    <w:next w:val="1"/>
    <w:qFormat/>
    <w:uiPriority w:val="0"/>
    <w:pPr>
      <w:ind w:left="200" w:firstLine="420"/>
    </w:pPr>
    <w:rPr>
      <w:rFonts w:eastAsia="仿宋_GB2312"/>
      <w:sz w:val="32"/>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7">
    <w:name w:val="Strong"/>
    <w:qFormat/>
    <w:uiPriority w:val="0"/>
    <w:rPr>
      <w:b/>
    </w:rPr>
  </w:style>
  <w:style w:type="character" w:styleId="38">
    <w:name w:val="endnote reference"/>
    <w:semiHidden/>
    <w:qFormat/>
    <w:uiPriority w:val="0"/>
    <w:rPr>
      <w:vertAlign w:val="superscript"/>
    </w:r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Hyperlink"/>
    <w:qFormat/>
    <w:uiPriority w:val="99"/>
    <w:rPr>
      <w:color w:val="0000FF"/>
      <w:spacing w:val="0"/>
      <w:w w:val="100"/>
      <w:szCs w:val="21"/>
      <w:u w:val="single"/>
    </w:rPr>
  </w:style>
  <w:style w:type="character" w:styleId="42">
    <w:name w:val="footnote reference"/>
    <w:semiHidden/>
    <w:qFormat/>
    <w:uiPriority w:val="0"/>
    <w:rPr>
      <w:vertAlign w:val="superscript"/>
    </w:rPr>
  </w:style>
  <w:style w:type="paragraph" w:customStyle="1" w:styleId="43">
    <w:name w:val="WPSOffice手动目录 1"/>
    <w:basedOn w:val="32"/>
    <w:qFormat/>
    <w:uiPriority w:val="0"/>
    <w:pPr>
      <w:spacing w:line="360" w:lineRule="auto"/>
      <w:jc w:val="left"/>
    </w:pPr>
    <w:rPr>
      <w:rFonts w:ascii="Times New Roman" w:hAnsi="Times New Roman"/>
      <w:b w:val="0"/>
      <w:sz w:val="24"/>
    </w:rPr>
  </w:style>
  <w:style w:type="character" w:customStyle="1" w:styleId="44">
    <w:name w:val="批注框文本 Char"/>
    <w:link w:val="17"/>
    <w:qFormat/>
    <w:uiPriority w:val="0"/>
    <w:rPr>
      <w:kern w:val="2"/>
      <w:sz w:val="18"/>
      <w:szCs w:val="18"/>
    </w:rPr>
  </w:style>
  <w:style w:type="character" w:customStyle="1" w:styleId="45">
    <w:name w:val="页眉 Char"/>
    <w:link w:val="19"/>
    <w:qFormat/>
    <w:locked/>
    <w:uiPriority w:val="0"/>
    <w:rPr>
      <w:kern w:val="2"/>
      <w:sz w:val="18"/>
      <w:szCs w:val="18"/>
    </w:rPr>
  </w:style>
  <w:style w:type="character" w:customStyle="1" w:styleId="46">
    <w:name w:val="段 Char"/>
    <w:link w:val="24"/>
    <w:qFormat/>
    <w:uiPriority w:val="0"/>
    <w:rPr>
      <w:rFonts w:ascii="宋体"/>
      <w:sz w:val="21"/>
      <w:lang w:val="en-US" w:eastAsia="zh-CN" w:bidi="ar-SA"/>
    </w:rPr>
  </w:style>
  <w:style w:type="character" w:customStyle="1" w:styleId="47">
    <w:name w:val="首示例 Char"/>
    <w:link w:val="48"/>
    <w:qFormat/>
    <w:uiPriority w:val="0"/>
    <w:rPr>
      <w:rFonts w:ascii="宋体" w:hAnsi="宋体"/>
      <w:kern w:val="2"/>
      <w:sz w:val="18"/>
      <w:szCs w:val="18"/>
      <w:lang w:val="en-US" w:eastAsia="zh-CN" w:bidi="ar-SA"/>
    </w:rPr>
  </w:style>
  <w:style w:type="paragraph" w:customStyle="1" w:styleId="48">
    <w:name w:val="首示例"/>
    <w:next w:val="24"/>
    <w:link w:val="47"/>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9">
    <w:name w:val="发布"/>
    <w:qFormat/>
    <w:uiPriority w:val="0"/>
    <w:rPr>
      <w:rFonts w:ascii="黑体" w:eastAsia="黑体"/>
      <w:spacing w:val="85"/>
      <w:w w:val="100"/>
      <w:position w:val="3"/>
      <w:sz w:val="28"/>
      <w:szCs w:val="28"/>
    </w:rPr>
  </w:style>
  <w:style w:type="character" w:customStyle="1" w:styleId="50">
    <w:name w:val="附录公式 Char"/>
    <w:link w:val="51"/>
    <w:qFormat/>
    <w:uiPriority w:val="0"/>
    <w:rPr>
      <w:lang w:val="en-US" w:eastAsia="zh-CN" w:bidi="ar-SA"/>
    </w:rPr>
  </w:style>
  <w:style w:type="paragraph" w:customStyle="1" w:styleId="51">
    <w:name w:val="附录公式"/>
    <w:basedOn w:val="24"/>
    <w:next w:val="24"/>
    <w:link w:val="50"/>
    <w:qFormat/>
    <w:uiPriority w:val="0"/>
  </w:style>
  <w:style w:type="paragraph" w:customStyle="1" w:styleId="52">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53">
    <w:name w:val="附录表标号"/>
    <w:basedOn w:val="1"/>
    <w:next w:val="24"/>
    <w:qFormat/>
    <w:uiPriority w:val="0"/>
    <w:pPr>
      <w:numPr>
        <w:ilvl w:val="0"/>
        <w:numId w:val="3"/>
      </w:numPr>
      <w:tabs>
        <w:tab w:val="clear" w:pos="0"/>
      </w:tabs>
      <w:spacing w:line="14" w:lineRule="exact"/>
      <w:ind w:left="811" w:hanging="448"/>
      <w:jc w:val="center"/>
      <w:outlineLvl w:val="0"/>
    </w:pPr>
    <w:rPr>
      <w:color w:val="FFFFFF"/>
    </w:rPr>
  </w:style>
  <w:style w:type="paragraph" w:customStyle="1" w:styleId="54">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5">
    <w:name w:val="条文脚注"/>
    <w:basedOn w:val="25"/>
    <w:qFormat/>
    <w:uiPriority w:val="0"/>
    <w:pPr>
      <w:numPr>
        <w:numId w:val="0"/>
      </w:numPr>
      <w:tabs>
        <w:tab w:val="clear" w:pos="0"/>
      </w:tabs>
      <w:jc w:val="both"/>
    </w:p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58">
    <w:name w:val="列出段落1"/>
    <w:basedOn w:val="1"/>
    <w:qFormat/>
    <w:uiPriority w:val="1"/>
    <w:pPr>
      <w:spacing w:before="43"/>
      <w:ind w:left="638" w:hanging="420"/>
    </w:pPr>
    <w:rPr>
      <w:rFonts w:ascii="宋体" w:hAnsi="宋体" w:cs="宋体"/>
    </w:rPr>
  </w:style>
  <w:style w:type="paragraph" w:customStyle="1" w:styleId="59">
    <w:name w:val="附录标题"/>
    <w:basedOn w:val="24"/>
    <w:next w:val="24"/>
    <w:qFormat/>
    <w:uiPriority w:val="0"/>
    <w:pPr>
      <w:ind w:firstLine="0" w:firstLineChars="0"/>
      <w:jc w:val="center"/>
    </w:pPr>
    <w:rPr>
      <w:rFonts w:ascii="黑体" w:eastAsia="黑体"/>
    </w:rPr>
  </w:style>
  <w:style w:type="paragraph" w:customStyle="1" w:styleId="60">
    <w:name w:val="三级条标题"/>
    <w:basedOn w:val="61"/>
    <w:next w:val="24"/>
    <w:qFormat/>
    <w:uiPriority w:val="0"/>
    <w:pPr>
      <w:numPr>
        <w:ilvl w:val="0"/>
        <w:numId w:val="0"/>
      </w:numPr>
      <w:outlineLvl w:val="4"/>
    </w:pPr>
  </w:style>
  <w:style w:type="paragraph" w:customStyle="1" w:styleId="61">
    <w:name w:val="二级条标题"/>
    <w:basedOn w:val="62"/>
    <w:next w:val="24"/>
    <w:qFormat/>
    <w:uiPriority w:val="0"/>
    <w:pPr>
      <w:numPr>
        <w:ilvl w:val="2"/>
      </w:numPr>
      <w:spacing w:before="50" w:after="50"/>
      <w:outlineLvl w:val="3"/>
    </w:pPr>
  </w:style>
  <w:style w:type="paragraph" w:customStyle="1" w:styleId="62">
    <w:name w:val="一级条标题"/>
    <w:next w:val="24"/>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3">
    <w:name w:val="正文图标题"/>
    <w:next w:val="24"/>
    <w:qFormat/>
    <w:uiPriority w:val="0"/>
    <w:pPr>
      <w:numPr>
        <w:ilvl w:val="0"/>
        <w:numId w:val="6"/>
      </w:numPr>
      <w:spacing w:before="156" w:beforeLines="50" w:after="156" w:afterLines="50"/>
      <w:jc w:val="center"/>
    </w:pPr>
    <w:rPr>
      <w:rFonts w:ascii="黑体" w:hAnsi="Times New Roman" w:eastAsia="黑体" w:cs="Times New Roman"/>
      <w:sz w:val="21"/>
      <w:lang w:val="en-US" w:eastAsia="zh-CN" w:bidi="ar-SA"/>
    </w:rPr>
  </w:style>
  <w:style w:type="paragraph" w:customStyle="1" w:styleId="64">
    <w:name w:val="附录数字编号列项（二级）"/>
    <w:qFormat/>
    <w:uiPriority w:val="0"/>
    <w:pPr>
      <w:numPr>
        <w:ilvl w:val="1"/>
        <w:numId w:val="7"/>
      </w:numPr>
    </w:pPr>
    <w:rPr>
      <w:rFonts w:ascii="宋体" w:hAnsi="Times New Roman" w:eastAsia="宋体" w:cs="Times New Roman"/>
      <w:sz w:val="21"/>
      <w:lang w:val="en-US" w:eastAsia="zh-CN" w:bidi="ar-SA"/>
    </w:rPr>
  </w:style>
  <w:style w:type="paragraph" w:customStyle="1" w:styleId="65">
    <w:name w:val="五级条标题"/>
    <w:basedOn w:val="66"/>
    <w:next w:val="24"/>
    <w:qFormat/>
    <w:uiPriority w:val="0"/>
    <w:pPr>
      <w:numPr>
        <w:ilvl w:val="5"/>
      </w:numPr>
      <w:outlineLvl w:val="6"/>
    </w:pPr>
  </w:style>
  <w:style w:type="paragraph" w:customStyle="1" w:styleId="66">
    <w:name w:val="四级条标题"/>
    <w:basedOn w:val="60"/>
    <w:next w:val="24"/>
    <w:qFormat/>
    <w:uiPriority w:val="0"/>
    <w:pPr>
      <w:numPr>
        <w:ilvl w:val="4"/>
        <w:numId w:val="5"/>
      </w:numPr>
      <w:outlineLvl w:val="5"/>
    </w:pPr>
  </w:style>
  <w:style w:type="paragraph" w:customStyle="1" w:styleId="67">
    <w:name w:val="封面标准英文名称"/>
    <w:basedOn w:val="68"/>
    <w:qFormat/>
    <w:uiPriority w:val="0"/>
    <w:pPr>
      <w:framePr w:wrap="around"/>
      <w:spacing w:before="370" w:line="400" w:lineRule="exact"/>
    </w:pPr>
    <w:rPr>
      <w:rFonts w:ascii="Times New Roman"/>
      <w:sz w:val="28"/>
      <w:szCs w:val="28"/>
    </w:rPr>
  </w:style>
  <w:style w:type="paragraph" w:customStyle="1" w:styleId="6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9">
    <w:name w:val="一级无"/>
    <w:basedOn w:val="62"/>
    <w:qFormat/>
    <w:uiPriority w:val="0"/>
    <w:pPr>
      <w:spacing w:before="0" w:beforeLines="0" w:after="0" w:afterLines="0"/>
    </w:pPr>
    <w:rPr>
      <w:rFonts w:ascii="宋体" w:eastAsia="宋体"/>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72">
    <w:name w:val="封面一致性程度标识2"/>
    <w:basedOn w:val="73"/>
    <w:qFormat/>
    <w:uiPriority w:val="0"/>
    <w:pPr>
      <w:framePr w:wrap="around" w:y="4469"/>
    </w:pPr>
  </w:style>
  <w:style w:type="paragraph" w:customStyle="1" w:styleId="73">
    <w:name w:val="封面一致性程度标识"/>
    <w:basedOn w:val="67"/>
    <w:qFormat/>
    <w:uiPriority w:val="0"/>
    <w:pPr>
      <w:framePr w:wrap="around"/>
      <w:spacing w:before="440"/>
    </w:pPr>
    <w:rPr>
      <w:rFonts w:ascii="宋体" w:eastAsia="宋体"/>
    </w:rPr>
  </w:style>
  <w:style w:type="paragraph" w:customStyle="1" w:styleId="74">
    <w:name w:val="封面标准文稿编辑信息2"/>
    <w:basedOn w:val="75"/>
    <w:qFormat/>
    <w:uiPriority w:val="0"/>
    <w:pPr>
      <w:framePr w:wrap="around" w:y="4469"/>
    </w:pPr>
  </w:style>
  <w:style w:type="paragraph" w:customStyle="1" w:styleId="75">
    <w:name w:val="封面标准文稿编辑信息"/>
    <w:basedOn w:val="76"/>
    <w:qFormat/>
    <w:uiPriority w:val="0"/>
    <w:pPr>
      <w:framePr w:wrap="around"/>
      <w:spacing w:before="180" w:line="180" w:lineRule="exact"/>
    </w:pPr>
    <w:rPr>
      <w:sz w:val="21"/>
    </w:rPr>
  </w:style>
  <w:style w:type="paragraph" w:customStyle="1" w:styleId="76">
    <w:name w:val="封面标准文稿类别"/>
    <w:basedOn w:val="73"/>
    <w:qFormat/>
    <w:uiPriority w:val="0"/>
    <w:pPr>
      <w:framePr w:wrap="around"/>
      <w:spacing w:after="160" w:line="240" w:lineRule="auto"/>
    </w:pPr>
    <w:rPr>
      <w:sz w:val="24"/>
    </w:rPr>
  </w:style>
  <w:style w:type="paragraph" w:customStyle="1" w:styleId="77">
    <w:name w:val="注×："/>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78">
    <w:name w:val="附录三级条标题"/>
    <w:basedOn w:val="79"/>
    <w:next w:val="24"/>
    <w:qFormat/>
    <w:uiPriority w:val="0"/>
    <w:pPr>
      <w:numPr>
        <w:ilvl w:val="4"/>
      </w:numPr>
      <w:tabs>
        <w:tab w:val="left" w:pos="360"/>
      </w:tabs>
      <w:outlineLvl w:val="4"/>
    </w:pPr>
  </w:style>
  <w:style w:type="paragraph" w:customStyle="1" w:styleId="79">
    <w:name w:val="附录二级条标题"/>
    <w:basedOn w:val="1"/>
    <w:next w:val="24"/>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0">
    <w:name w:val="正文公式编号制表符"/>
    <w:basedOn w:val="24"/>
    <w:next w:val="24"/>
    <w:qFormat/>
    <w:uiPriority w:val="0"/>
    <w:pPr>
      <w:ind w:firstLine="0" w:firstLineChars="0"/>
    </w:pPr>
  </w:style>
  <w:style w:type="paragraph" w:customStyle="1" w:styleId="81">
    <w:name w:val="附录三级无"/>
    <w:basedOn w:val="78"/>
    <w:qFormat/>
    <w:uiPriority w:val="0"/>
    <w:pPr>
      <w:tabs>
        <w:tab w:val="clear" w:pos="360"/>
      </w:tabs>
      <w:spacing w:before="0" w:beforeLines="0" w:after="0" w:afterLines="0"/>
    </w:pPr>
    <w:rPr>
      <w:rFonts w:ascii="宋体" w:eastAsia="宋体"/>
      <w:szCs w:val="21"/>
    </w:rPr>
  </w:style>
  <w:style w:type="paragraph" w:customStyle="1" w:styleId="82">
    <w:name w:val="图标脚注说明"/>
    <w:basedOn w:val="24"/>
    <w:qFormat/>
    <w:uiPriority w:val="0"/>
    <w:pPr>
      <w:ind w:left="840" w:hanging="420" w:firstLineChars="0"/>
    </w:pPr>
    <w:rPr>
      <w:sz w:val="18"/>
      <w:szCs w:val="18"/>
    </w:rPr>
  </w:style>
  <w:style w:type="paragraph" w:customStyle="1" w:styleId="83">
    <w:name w:val="附录一级无"/>
    <w:basedOn w:val="84"/>
    <w:qFormat/>
    <w:uiPriority w:val="0"/>
    <w:pPr>
      <w:tabs>
        <w:tab w:val="left" w:pos="360"/>
      </w:tabs>
      <w:spacing w:before="0" w:beforeLines="0" w:after="0" w:afterLines="0"/>
    </w:pPr>
    <w:rPr>
      <w:rFonts w:ascii="宋体" w:eastAsia="宋体"/>
      <w:szCs w:val="21"/>
    </w:rPr>
  </w:style>
  <w:style w:type="paragraph" w:customStyle="1" w:styleId="84">
    <w:name w:val="附录一级条标题"/>
    <w:basedOn w:val="85"/>
    <w:next w:val="24"/>
    <w:qFormat/>
    <w:uiPriority w:val="0"/>
    <w:pPr>
      <w:numPr>
        <w:ilvl w:val="2"/>
      </w:numPr>
      <w:tabs>
        <w:tab w:val="left" w:pos="360"/>
      </w:tabs>
      <w:autoSpaceDN w:val="0"/>
      <w:spacing w:before="50" w:beforeLines="50" w:after="50" w:afterLines="50"/>
      <w:outlineLvl w:val="2"/>
    </w:pPr>
  </w:style>
  <w:style w:type="paragraph" w:customStyle="1" w:styleId="85">
    <w:name w:val="附录章标题"/>
    <w:next w:val="24"/>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附录五级无"/>
    <w:basedOn w:val="87"/>
    <w:qFormat/>
    <w:uiPriority w:val="0"/>
    <w:pPr>
      <w:tabs>
        <w:tab w:val="left" w:pos="360"/>
      </w:tabs>
      <w:spacing w:before="0" w:beforeLines="0" w:after="0" w:afterLines="0"/>
    </w:pPr>
    <w:rPr>
      <w:rFonts w:ascii="宋体" w:eastAsia="宋体"/>
      <w:szCs w:val="21"/>
    </w:rPr>
  </w:style>
  <w:style w:type="paragraph" w:customStyle="1" w:styleId="87">
    <w:name w:val="附录五级条标题"/>
    <w:basedOn w:val="88"/>
    <w:next w:val="24"/>
    <w:qFormat/>
    <w:uiPriority w:val="0"/>
    <w:pPr>
      <w:numPr>
        <w:ilvl w:val="6"/>
      </w:numPr>
      <w:tabs>
        <w:tab w:val="left" w:pos="360"/>
      </w:tabs>
      <w:outlineLvl w:val="6"/>
    </w:pPr>
  </w:style>
  <w:style w:type="paragraph" w:customStyle="1" w:styleId="88">
    <w:name w:val="附录四级条标题"/>
    <w:basedOn w:val="78"/>
    <w:next w:val="24"/>
    <w:qFormat/>
    <w:uiPriority w:val="0"/>
    <w:pPr>
      <w:numPr>
        <w:ilvl w:val="5"/>
      </w:numPr>
      <w:outlineLvl w:val="5"/>
    </w:pPr>
  </w:style>
  <w:style w:type="paragraph" w:customStyle="1" w:styleId="89">
    <w:name w:val="Table Paragraph"/>
    <w:basedOn w:val="1"/>
    <w:qFormat/>
    <w:uiPriority w:val="1"/>
    <w:pPr>
      <w:spacing w:before="111"/>
      <w:ind w:left="108"/>
      <w:jc w:val="center"/>
    </w:pPr>
    <w:rPr>
      <w:rFonts w:eastAsia="Times New Roman"/>
    </w:rPr>
  </w:style>
  <w:style w:type="paragraph" w:customStyle="1" w:styleId="90">
    <w:name w:val="终结线"/>
    <w:basedOn w:val="1"/>
    <w:qFormat/>
    <w:uiPriority w:val="0"/>
    <w:pPr>
      <w:framePr w:hSpace="181" w:vSpace="181" w:wrap="around" w:vAnchor="text" w:hAnchor="margin" w:xAlign="center" w:y="285"/>
    </w:pPr>
  </w:style>
  <w:style w:type="paragraph" w:customStyle="1" w:styleId="91">
    <w:name w:val="注：（正文）"/>
    <w:basedOn w:val="92"/>
    <w:next w:val="24"/>
    <w:qFormat/>
    <w:uiPriority w:val="0"/>
    <w:pPr>
      <w:numPr>
        <w:ilvl w:val="0"/>
        <w:numId w:val="10"/>
      </w:numPr>
    </w:pPr>
  </w:style>
  <w:style w:type="paragraph" w:customStyle="1" w:styleId="92">
    <w:name w:val="注："/>
    <w:next w:val="24"/>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93">
    <w:name w:val="封面标准英文名称2"/>
    <w:basedOn w:val="67"/>
    <w:qFormat/>
    <w:uiPriority w:val="0"/>
    <w:pPr>
      <w:framePr w:wrap="around" w:y="4469"/>
    </w:pPr>
  </w:style>
  <w:style w:type="paragraph" w:customStyle="1" w:styleId="94">
    <w:name w:val="示例×："/>
    <w:basedOn w:val="95"/>
    <w:qFormat/>
    <w:uiPriority w:val="0"/>
    <w:pPr>
      <w:numPr>
        <w:numId w:val="12"/>
      </w:numPr>
      <w:spacing w:before="0" w:beforeLines="0" w:after="0" w:afterLines="0"/>
      <w:outlineLvl w:val="9"/>
    </w:pPr>
    <w:rPr>
      <w:rFonts w:ascii="宋体" w:eastAsia="宋体"/>
      <w:sz w:val="18"/>
      <w:szCs w:val="18"/>
    </w:rPr>
  </w:style>
  <w:style w:type="paragraph" w:customStyle="1" w:styleId="95">
    <w:name w:val="章标题"/>
    <w:next w:val="24"/>
    <w:qFormat/>
    <w:uiPriority w:val="0"/>
    <w:pPr>
      <w:numPr>
        <w:ilvl w:val="0"/>
        <w:numId w:val="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96">
    <w:name w:val="三级无"/>
    <w:basedOn w:val="60"/>
    <w:qFormat/>
    <w:uiPriority w:val="0"/>
    <w:pPr>
      <w:spacing w:before="0" w:beforeLines="0" w:after="0" w:afterLines="0"/>
    </w:pPr>
    <w:rPr>
      <w:rFonts w:ascii="宋体" w:eastAsia="宋体"/>
    </w:rPr>
  </w:style>
  <w:style w:type="paragraph" w:customStyle="1" w:styleId="97">
    <w:name w:val="_Style 1"/>
    <w:basedOn w:val="1"/>
    <w:qFormat/>
    <w:uiPriority w:val="1"/>
    <w:pPr>
      <w:spacing w:before="43"/>
      <w:ind w:left="638" w:hanging="420"/>
    </w:pPr>
    <w:rPr>
      <w:rFonts w:ascii="宋体" w:hAnsi="宋体" w:cs="宋体"/>
    </w:rPr>
  </w:style>
  <w:style w:type="paragraph" w:customStyle="1" w:styleId="98">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0">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01">
    <w:name w:val="附录四级无"/>
    <w:basedOn w:val="88"/>
    <w:qFormat/>
    <w:uiPriority w:val="0"/>
    <w:pPr>
      <w:tabs>
        <w:tab w:val="clear" w:pos="360"/>
      </w:tabs>
      <w:spacing w:before="0" w:beforeLines="0" w:after="0" w:afterLines="0"/>
    </w:pPr>
    <w:rPr>
      <w:rFonts w:ascii="宋体" w:eastAsia="宋体"/>
      <w:szCs w:val="21"/>
    </w:rPr>
  </w:style>
  <w:style w:type="paragraph" w:customStyle="1" w:styleId="102">
    <w:name w:val="示例"/>
    <w:next w:val="56"/>
    <w:qFormat/>
    <w:uiPriority w:val="0"/>
    <w:pPr>
      <w:widowControl w:val="0"/>
      <w:numPr>
        <w:ilvl w:val="0"/>
        <w:numId w:val="13"/>
      </w:numPr>
      <w:jc w:val="both"/>
    </w:pPr>
    <w:rPr>
      <w:rFonts w:ascii="宋体" w:hAnsi="Times New Roman" w:eastAsia="宋体" w:cs="Times New Roman"/>
      <w:sz w:val="18"/>
      <w:szCs w:val="18"/>
      <w:lang w:val="en-US" w:eastAsia="zh-CN" w:bidi="ar-SA"/>
    </w:rPr>
  </w:style>
  <w:style w:type="paragraph" w:customStyle="1" w:styleId="10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示例后文字"/>
    <w:basedOn w:val="24"/>
    <w:next w:val="24"/>
    <w:qFormat/>
    <w:uiPriority w:val="0"/>
    <w:pPr>
      <w:ind w:firstLine="360"/>
    </w:pPr>
    <w:rPr>
      <w:sz w:val="18"/>
    </w:rPr>
  </w:style>
  <w:style w:type="paragraph" w:customStyle="1" w:styleId="106">
    <w:name w:val="五级无"/>
    <w:basedOn w:val="65"/>
    <w:qFormat/>
    <w:uiPriority w:val="0"/>
    <w:pPr>
      <w:spacing w:before="0" w:beforeLines="0" w:after="0" w:afterLines="0"/>
    </w:pPr>
    <w:rPr>
      <w:rFonts w:ascii="宋体" w:eastAsia="宋体"/>
    </w:rPr>
  </w:style>
  <w:style w:type="paragraph" w:customStyle="1" w:styleId="107">
    <w:name w:val="列项◆（三级）"/>
    <w:basedOn w:val="1"/>
    <w:qFormat/>
    <w:uiPriority w:val="0"/>
    <w:pPr>
      <w:numPr>
        <w:ilvl w:val="2"/>
        <w:numId w:val="14"/>
      </w:numPr>
    </w:pPr>
    <w:rPr>
      <w:rFonts w:ascii="宋体"/>
      <w:szCs w:val="21"/>
    </w:rPr>
  </w:style>
  <w:style w:type="paragraph" w:customStyle="1" w:styleId="10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9">
    <w:name w:val="四级无"/>
    <w:basedOn w:val="66"/>
    <w:qFormat/>
    <w:uiPriority w:val="0"/>
    <w:pPr>
      <w:spacing w:before="0" w:beforeLines="0" w:after="0" w:afterLines="0"/>
    </w:pPr>
    <w:rPr>
      <w:rFonts w:ascii="宋体" w:eastAsia="宋体"/>
    </w:rPr>
  </w:style>
  <w:style w:type="paragraph" w:customStyle="1" w:styleId="110">
    <w:name w:val="封面正文"/>
    <w:qFormat/>
    <w:uiPriority w:val="0"/>
    <w:pPr>
      <w:jc w:val="both"/>
    </w:pPr>
    <w:rPr>
      <w:rFonts w:ascii="Times New Roman" w:hAnsi="Times New Roman" w:eastAsia="宋体" w:cs="Times New Roman"/>
      <w:lang w:val="en-US" w:eastAsia="zh-CN" w:bidi="ar-SA"/>
    </w:rPr>
  </w:style>
  <w:style w:type="paragraph" w:customStyle="1" w:styleId="111">
    <w:name w:val="列项——（一级）"/>
    <w:qFormat/>
    <w:uiPriority w:val="0"/>
    <w:pPr>
      <w:widowControl w:val="0"/>
      <w:numPr>
        <w:ilvl w:val="0"/>
        <w:numId w:val="14"/>
      </w:numPr>
      <w:jc w:val="both"/>
    </w:pPr>
    <w:rPr>
      <w:rFonts w:ascii="宋体" w:hAnsi="Times New Roman" w:eastAsia="宋体" w:cs="Times New Roman"/>
      <w:sz w:val="21"/>
      <w:lang w:val="en-US" w:eastAsia="zh-CN" w:bidi="ar-SA"/>
    </w:rPr>
  </w:style>
  <w:style w:type="paragraph" w:customStyle="1" w:styleId="11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14">
    <w:name w:val="封面标准名称2"/>
    <w:basedOn w:val="68"/>
    <w:qFormat/>
    <w:uiPriority w:val="0"/>
    <w:pPr>
      <w:framePr w:wrap="around" w:y="4469"/>
      <w:spacing w:before="630" w:beforeLines="630"/>
    </w:pPr>
  </w:style>
  <w:style w:type="paragraph" w:customStyle="1" w:styleId="115">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6">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7">
    <w:name w:val="正文表标题"/>
    <w:next w:val="24"/>
    <w:qFormat/>
    <w:uiPriority w:val="0"/>
    <w:pPr>
      <w:numPr>
        <w:ilvl w:val="0"/>
        <w:numId w:val="1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18">
    <w:name w:val="图表脚注说明"/>
    <w:basedOn w:val="1"/>
    <w:qFormat/>
    <w:uiPriority w:val="0"/>
    <w:pPr>
      <w:numPr>
        <w:ilvl w:val="0"/>
        <w:numId w:val="16"/>
      </w:numPr>
    </w:pPr>
    <w:rPr>
      <w:rFonts w:ascii="宋体"/>
      <w:sz w:val="18"/>
      <w:szCs w:val="18"/>
    </w:rPr>
  </w:style>
  <w:style w:type="paragraph" w:customStyle="1" w:styleId="119">
    <w:name w:val="其他发布日期"/>
    <w:basedOn w:val="113"/>
    <w:qFormat/>
    <w:uiPriority w:val="0"/>
    <w:pPr>
      <w:framePr w:wrap="around" w:vAnchor="page" w:hAnchor="text" w:x="1419"/>
    </w:pPr>
  </w:style>
  <w:style w:type="paragraph" w:customStyle="1" w:styleId="12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22">
    <w:name w:val="其他实施日期"/>
    <w:basedOn w:val="123"/>
    <w:qFormat/>
    <w:uiPriority w:val="0"/>
    <w:pPr>
      <w:framePr w:wrap="around"/>
    </w:pPr>
  </w:style>
  <w:style w:type="paragraph" w:customStyle="1" w:styleId="123">
    <w:name w:val="实施日期"/>
    <w:basedOn w:val="113"/>
    <w:qFormat/>
    <w:uiPriority w:val="0"/>
    <w:pPr>
      <w:framePr w:wrap="around" w:vAnchor="page" w:hAnchor="text"/>
      <w:jc w:val="right"/>
    </w:pPr>
  </w:style>
  <w:style w:type="paragraph" w:customStyle="1" w:styleId="12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25">
    <w:name w:val="标准书眉_偶数页"/>
    <w:basedOn w:val="121"/>
    <w:next w:val="1"/>
    <w:qFormat/>
    <w:uiPriority w:val="0"/>
    <w:pPr>
      <w:jc w:val="left"/>
    </w:pPr>
  </w:style>
  <w:style w:type="paragraph" w:customStyle="1" w:styleId="12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7">
    <w:name w:val="封面标准文稿类别2"/>
    <w:basedOn w:val="76"/>
    <w:qFormat/>
    <w:uiPriority w:val="0"/>
    <w:pPr>
      <w:framePr w:wrap="around" w:y="4469"/>
    </w:pPr>
  </w:style>
  <w:style w:type="paragraph" w:customStyle="1" w:styleId="128">
    <w:name w:val="列项——"/>
    <w:qFormat/>
    <w:uiPriority w:val="0"/>
    <w:pPr>
      <w:widowControl w:val="0"/>
      <w:numPr>
        <w:ilvl w:val="0"/>
        <w:numId w:val="17"/>
      </w:numPr>
      <w:tabs>
        <w:tab w:val="left" w:pos="854"/>
      </w:tabs>
      <w:jc w:val="both"/>
    </w:pPr>
    <w:rPr>
      <w:rFonts w:ascii="宋体" w:hAnsi="Times New Roman" w:eastAsia="宋体" w:cs="Times New Roman"/>
      <w:sz w:val="21"/>
      <w:szCs w:val="22"/>
      <w:lang w:val="en-US" w:eastAsia="zh-CN" w:bidi="ar-SA"/>
    </w:rPr>
  </w:style>
  <w:style w:type="paragraph" w:customStyle="1" w:styleId="129">
    <w:name w:val="附录标识"/>
    <w:basedOn w:val="1"/>
    <w:next w:val="24"/>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0">
    <w:name w:val="附录二级无"/>
    <w:basedOn w:val="79"/>
    <w:qFormat/>
    <w:uiPriority w:val="0"/>
    <w:pPr>
      <w:tabs>
        <w:tab w:val="clear" w:pos="360"/>
      </w:tabs>
      <w:spacing w:before="0" w:beforeLines="0" w:after="0" w:afterLines="0"/>
    </w:pPr>
    <w:rPr>
      <w:rFonts w:ascii="宋体" w:eastAsia="宋体"/>
      <w:szCs w:val="21"/>
    </w:rPr>
  </w:style>
  <w:style w:type="paragraph" w:customStyle="1" w:styleId="131">
    <w:name w:val="注×：（正文）"/>
    <w:qFormat/>
    <w:uiPriority w:val="0"/>
    <w:pPr>
      <w:numPr>
        <w:ilvl w:val="0"/>
        <w:numId w:val="18"/>
      </w:numPr>
      <w:jc w:val="both"/>
    </w:pPr>
    <w:rPr>
      <w:rFonts w:ascii="宋体" w:hAnsi="Times New Roman" w:eastAsia="宋体" w:cs="Times New Roman"/>
      <w:sz w:val="18"/>
      <w:szCs w:val="18"/>
      <w:lang w:val="en-US" w:eastAsia="zh-CN" w:bidi="ar-SA"/>
    </w:rPr>
  </w:style>
  <w:style w:type="paragraph" w:customStyle="1" w:styleId="132">
    <w:name w:val="附录图标题"/>
    <w:basedOn w:val="1"/>
    <w:next w:val="24"/>
    <w:qFormat/>
    <w:uiPriority w:val="0"/>
    <w:pPr>
      <w:numPr>
        <w:ilvl w:val="1"/>
        <w:numId w:val="19"/>
      </w:numPr>
      <w:tabs>
        <w:tab w:val="left" w:pos="363"/>
      </w:tabs>
      <w:spacing w:before="50" w:beforeLines="50" w:after="50" w:afterLines="50"/>
      <w:ind w:left="0" w:firstLine="0"/>
      <w:jc w:val="center"/>
    </w:pPr>
    <w:rPr>
      <w:rFonts w:ascii="黑体" w:eastAsia="黑体"/>
      <w:szCs w:val="21"/>
    </w:rPr>
  </w:style>
  <w:style w:type="paragraph" w:customStyle="1" w:styleId="133">
    <w:name w:val="列项●（二级）"/>
    <w:qFormat/>
    <w:uiPriority w:val="0"/>
    <w:pPr>
      <w:numPr>
        <w:ilvl w:val="1"/>
        <w:numId w:val="14"/>
      </w:numPr>
      <w:tabs>
        <w:tab w:val="left" w:pos="840"/>
      </w:tabs>
      <w:jc w:val="both"/>
    </w:pPr>
    <w:rPr>
      <w:rFonts w:ascii="宋体" w:hAnsi="Times New Roman" w:eastAsia="宋体" w:cs="Times New Roman"/>
      <w:sz w:val="21"/>
      <w:lang w:val="en-US" w:eastAsia="zh-CN" w:bidi="ar-SA"/>
    </w:rPr>
  </w:style>
  <w:style w:type="paragraph" w:customStyle="1" w:styleId="134">
    <w:name w:val="附录表标题"/>
    <w:basedOn w:val="1"/>
    <w:next w:val="24"/>
    <w:qFormat/>
    <w:uiPriority w:val="0"/>
    <w:pPr>
      <w:numPr>
        <w:ilvl w:val="1"/>
        <w:numId w:val="3"/>
      </w:numPr>
      <w:tabs>
        <w:tab w:val="left" w:pos="180"/>
      </w:tabs>
      <w:spacing w:before="50" w:beforeLines="50" w:after="50" w:afterLines="50"/>
      <w:ind w:left="0" w:firstLine="0"/>
      <w:jc w:val="center"/>
    </w:pPr>
    <w:rPr>
      <w:rFonts w:ascii="黑体" w:eastAsia="黑体"/>
      <w:szCs w:val="21"/>
    </w:rPr>
  </w:style>
  <w:style w:type="paragraph" w:customStyle="1" w:styleId="135">
    <w:name w:val="二级无"/>
    <w:basedOn w:val="61"/>
    <w:qFormat/>
    <w:uiPriority w:val="0"/>
    <w:pPr>
      <w:spacing w:before="0" w:beforeLines="0" w:after="0" w:afterLines="0"/>
    </w:pPr>
    <w:rPr>
      <w:rFonts w:ascii="宋体" w:eastAsia="宋体"/>
    </w:rPr>
  </w:style>
  <w:style w:type="paragraph" w:customStyle="1" w:styleId="136">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7">
    <w:name w:val="其他发布部门"/>
    <w:basedOn w:val="136"/>
    <w:qFormat/>
    <w:uiPriority w:val="0"/>
    <w:pPr>
      <w:framePr w:wrap="around" w:y="15310"/>
      <w:spacing w:line="0" w:lineRule="atLeast"/>
    </w:pPr>
    <w:rPr>
      <w:rFonts w:ascii="黑体" w:eastAsia="黑体"/>
      <w:b w:val="0"/>
    </w:rPr>
  </w:style>
  <w:style w:type="paragraph" w:customStyle="1" w:styleId="138">
    <w:name w:val="其他标准标志"/>
    <w:basedOn w:val="70"/>
    <w:qFormat/>
    <w:uiPriority w:val="0"/>
    <w:pPr>
      <w:framePr w:w="6101" w:wrap="around" w:vAnchor="page" w:hAnchor="page" w:x="4673" w:y="942"/>
    </w:pPr>
    <w:rPr>
      <w:w w:val="130"/>
    </w:rPr>
  </w:style>
  <w:style w:type="paragraph" w:customStyle="1" w:styleId="139">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4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41">
    <w:name w:val="附录图标号"/>
    <w:basedOn w:val="1"/>
    <w:qFormat/>
    <w:uiPriority w:val="0"/>
    <w:pPr>
      <w:keepNext/>
      <w:pageBreakBefore/>
      <w:widowControl/>
      <w:numPr>
        <w:ilvl w:val="0"/>
        <w:numId w:val="19"/>
      </w:numPr>
      <w:spacing w:line="14" w:lineRule="exact"/>
      <w:ind w:left="0" w:firstLine="363"/>
      <w:jc w:val="center"/>
      <w:outlineLvl w:val="0"/>
    </w:pPr>
    <w:rPr>
      <w:color w:val="FFFFFF"/>
    </w:rPr>
  </w:style>
  <w:style w:type="paragraph" w:customStyle="1" w:styleId="142">
    <w:name w:val="编号列项（三级）"/>
    <w:qFormat/>
    <w:uiPriority w:val="0"/>
    <w:rPr>
      <w:rFonts w:ascii="宋体" w:hAnsi="Times New Roman" w:eastAsia="宋体" w:cs="Times New Roman"/>
      <w:sz w:val="21"/>
      <w:lang w:val="en-US" w:eastAsia="zh-CN" w:bidi="ar-SA"/>
    </w:rPr>
  </w:style>
  <w:style w:type="paragraph" w:customStyle="1" w:styleId="143">
    <w:name w:val="附录字母编号列项（一级）"/>
    <w:qFormat/>
    <w:uiPriority w:val="0"/>
    <w:pPr>
      <w:numPr>
        <w:ilvl w:val="0"/>
        <w:numId w:val="7"/>
      </w:numPr>
    </w:pPr>
    <w:rPr>
      <w:rFonts w:ascii="宋体" w:hAnsi="Times New Roman" w:eastAsia="宋体" w:cs="Times New Roman"/>
      <w:sz w:val="21"/>
      <w:lang w:val="en-US" w:eastAsia="zh-CN" w:bidi="ar-SA"/>
    </w:rPr>
  </w:style>
  <w:style w:type="paragraph" w:customStyle="1" w:styleId="144">
    <w:name w:val="标准书眉一"/>
    <w:qFormat/>
    <w:uiPriority w:val="0"/>
    <w:pPr>
      <w:jc w:val="both"/>
    </w:pPr>
    <w:rPr>
      <w:rFonts w:ascii="Times New Roman" w:hAnsi="Times New Roman" w:eastAsia="宋体" w:cs="Times New Roman"/>
      <w:lang w:val="en-US" w:eastAsia="zh-CN" w:bidi="ar-SA"/>
    </w:rPr>
  </w:style>
  <w:style w:type="paragraph" w:customStyle="1" w:styleId="145">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22</Pages>
  <Words>1778</Words>
  <Characters>2119</Characters>
  <Lines>93</Lines>
  <Paragraphs>26</Paragraphs>
  <TotalTime>0</TotalTime>
  <ScaleCrop>false</ScaleCrop>
  <LinksUpToDate>false</LinksUpToDate>
  <CharactersWithSpaces>2334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2025-08-16T09:44:00Z</dcterms:created>
  <dc:creator>CNIS</dc:creator>
  <cp:lastModifiedBy>Likejade</cp:lastModifiedBy>
  <dcterms:modified xsi:type="dcterms:W3CDTF">2025-12-24T12:28:09Z</dcterms:modified>
  <dc:title>标准名称</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eyJoZGlkIjoiZTQ4ODQwNThiYTg4YTBlNDhkZDRmNGNiNWM5NWE1YzAiLCJ1c2VySWQiOiI0MzgwOTY2OTcifQ==</vt:lpwstr>
  </property>
  <property fmtid="{D5CDD505-2E9C-101B-9397-08002B2CF9AE}" pid="4" name="ICV">
    <vt:lpwstr>7F4F689222DC470EB4E1151CD1DDBC87_13</vt:lpwstr>
  </property>
</Properties>
</file>